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-1200150</wp:posOffset>
            </wp:positionH>
            <wp:positionV relativeFrom="paragraph">
              <wp:posOffset>-960120</wp:posOffset>
            </wp:positionV>
            <wp:extent cx="7690485" cy="10803255"/>
            <wp:effectExtent l="0" t="0" r="5715" b="17145"/>
            <wp:wrapNone/>
            <wp:docPr id="1" name="图片 1" descr="CCI_000040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_000040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0485" cy="1080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-957580</wp:posOffset>
            </wp:positionV>
            <wp:extent cx="7690485" cy="10802620"/>
            <wp:effectExtent l="0" t="0" r="5715" b="17780"/>
            <wp:wrapNone/>
            <wp:docPr id="2" name="图片 2" descr="CCI_000039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_000039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0485" cy="1080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/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附件1：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培训收益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（一）了解当前我国宏观经济形势；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（二）学习E</w:t>
      </w:r>
      <w:r>
        <w:rPr>
          <w:rFonts w:hint="default" w:hAnsi="仿宋" w:cs="仿宋"/>
          <w:bCs/>
          <w:sz w:val="28"/>
          <w:szCs w:val="28"/>
        </w:rPr>
        <w:t>OD</w:t>
      </w:r>
      <w:r>
        <w:rPr>
          <w:rFonts w:hAnsi="仿宋" w:cs="仿宋"/>
          <w:bCs/>
          <w:sz w:val="28"/>
          <w:szCs w:val="28"/>
        </w:rPr>
        <w:t>模式相关政策解析及实操；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（三）学习片区综合开发项目投资模式及债务防范；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（四）学习城市更新操作方式及案例分享；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（五）了解政府投资项目及企业投资项目谋划包装；</w:t>
      </w:r>
    </w:p>
    <w:p>
      <w:pPr>
        <w:pStyle w:val="2"/>
        <w:numPr>
          <w:ilvl w:val="0"/>
          <w:numId w:val="1"/>
        </w:numPr>
        <w:spacing w:line="520" w:lineRule="exact"/>
        <w:ind w:firstLineChars="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学习政府隐性债务防范与化解及经典案例。</w:t>
      </w:r>
    </w:p>
    <w:p>
      <w:pPr>
        <w:spacing w:line="520" w:lineRule="exact"/>
        <w:ind w:left="56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二、培训内容</w:t>
      </w:r>
    </w:p>
    <w:p>
      <w:pPr>
        <w:snapToGrid w:val="0"/>
        <w:spacing w:line="48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（一）EOD模式设计实务</w:t>
      </w:r>
    </w:p>
    <w:p>
      <w:pPr>
        <w:snapToGrid w:val="0"/>
        <w:spacing w:line="48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1.EOD模式产生背景及主要政策解读；</w:t>
      </w:r>
    </w:p>
    <w:p>
      <w:pPr>
        <w:snapToGrid w:val="0"/>
        <w:spacing w:line="48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2.EOD项目谋划与申报；</w:t>
      </w:r>
    </w:p>
    <w:p>
      <w:pPr>
        <w:snapToGrid w:val="0"/>
        <w:spacing w:line="48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3.EOD项目储备库入库解析；</w:t>
      </w:r>
    </w:p>
    <w:p>
      <w:pPr>
        <w:snapToGrid w:val="0"/>
        <w:spacing w:line="48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4.EOD项目产业选择与资源价值实施路径；</w:t>
      </w:r>
    </w:p>
    <w:p>
      <w:pPr>
        <w:snapToGrid w:val="0"/>
        <w:spacing w:line="48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5.EOD项目资金来源与投融资模式创新；</w:t>
      </w:r>
    </w:p>
    <w:p>
      <w:pPr>
        <w:snapToGrid w:val="0"/>
        <w:spacing w:line="48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6.EOD与PPP融合发展模式；</w:t>
      </w:r>
    </w:p>
    <w:p>
      <w:pPr>
        <w:snapToGrid w:val="0"/>
        <w:spacing w:line="48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7.土地交易指标对EOD项目反哺及案例；</w:t>
      </w:r>
    </w:p>
    <w:p>
      <w:pPr>
        <w:snapToGrid w:val="0"/>
        <w:spacing w:line="48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8.矿产资源对EOD项目反哺分析及案例。</w:t>
      </w:r>
    </w:p>
    <w:p>
      <w:pPr>
        <w:pStyle w:val="2"/>
        <w:spacing w:line="480" w:lineRule="exact"/>
        <w:ind w:left="0" w:firstLine="562"/>
        <w:rPr>
          <w:rFonts w:hint="default" w:hAnsi="仿宋" w:cs="仿宋"/>
          <w:b/>
          <w:bCs/>
          <w:kern w:val="0"/>
          <w:sz w:val="28"/>
          <w:szCs w:val="28"/>
        </w:rPr>
      </w:pPr>
      <w:r>
        <w:rPr>
          <w:rFonts w:hAnsi="仿宋" w:cs="仿宋"/>
          <w:b/>
          <w:bCs/>
          <w:kern w:val="0"/>
          <w:sz w:val="28"/>
          <w:szCs w:val="28"/>
        </w:rPr>
        <w:t>（二）E</w:t>
      </w:r>
      <w:r>
        <w:rPr>
          <w:rFonts w:hint="default" w:hAnsi="仿宋" w:cs="仿宋"/>
          <w:b/>
          <w:bCs/>
          <w:kern w:val="0"/>
          <w:sz w:val="28"/>
          <w:szCs w:val="28"/>
        </w:rPr>
        <w:t>OD</w:t>
      </w:r>
      <w:r>
        <w:rPr>
          <w:rFonts w:hAnsi="仿宋" w:cs="仿宋"/>
          <w:b/>
          <w:bCs/>
          <w:kern w:val="0"/>
          <w:sz w:val="28"/>
          <w:szCs w:val="28"/>
        </w:rPr>
        <w:t>生态环境治理部分实务及案例</w:t>
      </w:r>
    </w:p>
    <w:p>
      <w:pPr>
        <w:pStyle w:val="2"/>
        <w:spacing w:line="480" w:lineRule="exact"/>
        <w:ind w:firstLine="562"/>
        <w:rPr>
          <w:rFonts w:hint="default" w:hAnsi="仿宋" w:cs="仿宋"/>
          <w:bCs/>
          <w:kern w:val="0"/>
          <w:sz w:val="28"/>
          <w:szCs w:val="28"/>
        </w:rPr>
      </w:pPr>
      <w:r>
        <w:rPr>
          <w:rFonts w:hAnsi="仿宋" w:cs="仿宋"/>
          <w:b/>
          <w:bCs/>
          <w:kern w:val="0"/>
          <w:sz w:val="28"/>
          <w:szCs w:val="28"/>
        </w:rPr>
        <w:t xml:space="preserve"> </w:t>
      </w:r>
      <w:r>
        <w:rPr>
          <w:rFonts w:hint="default" w:hAnsi="仿宋" w:cs="仿宋"/>
          <w:bCs/>
          <w:kern w:val="0"/>
          <w:sz w:val="28"/>
          <w:szCs w:val="28"/>
        </w:rPr>
        <w:t>1.</w:t>
      </w:r>
      <w:r>
        <w:rPr>
          <w:sz w:val="28"/>
          <w:szCs w:val="28"/>
        </w:rPr>
        <w:t>EOD项目的八大生态环境治理领域及相关案例；</w:t>
      </w:r>
    </w:p>
    <w:p>
      <w:pPr>
        <w:pStyle w:val="2"/>
        <w:spacing w:line="480" w:lineRule="exact"/>
        <w:ind w:firstLine="700" w:firstLineChars="250"/>
        <w:rPr>
          <w:rFonts w:hint="default" w:hAnsi="仿宋" w:cs="仿宋"/>
          <w:bCs/>
          <w:sz w:val="28"/>
          <w:szCs w:val="28"/>
        </w:rPr>
      </w:pPr>
      <w:r>
        <w:rPr>
          <w:rFonts w:hint="default" w:hAnsi="仿宋" w:cs="仿宋"/>
          <w:bCs/>
          <w:sz w:val="28"/>
          <w:szCs w:val="28"/>
        </w:rPr>
        <w:t>2.</w:t>
      </w:r>
      <w:r>
        <w:rPr>
          <w:rFonts w:hAnsi="仿宋" w:cs="仿宋"/>
          <w:bCs/>
          <w:sz w:val="28"/>
          <w:szCs w:val="28"/>
        </w:rPr>
        <w:t>EOD项目治理修复领域占比情况分析及案例；</w:t>
      </w:r>
    </w:p>
    <w:p>
      <w:pPr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>3.EOD</w:t>
      </w:r>
      <w:r>
        <w:rPr>
          <w:rFonts w:hint="eastAsia" w:ascii="仿宋" w:hAnsi="仿宋" w:eastAsia="仿宋"/>
          <w:sz w:val="28"/>
          <w:szCs w:val="28"/>
        </w:rPr>
        <w:t>项目生态环境治理项目组合及案例；</w:t>
      </w:r>
    </w:p>
    <w:p>
      <w:pPr>
        <w:spacing w:line="480" w:lineRule="exact"/>
        <w:ind w:firstLine="56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（三）E</w:t>
      </w:r>
      <w:r>
        <w:rPr>
          <w:rFonts w:ascii="仿宋" w:hAnsi="仿宋" w:eastAsia="仿宋"/>
          <w:sz w:val="28"/>
          <w:szCs w:val="28"/>
        </w:rPr>
        <w:t>OD</w:t>
      </w:r>
      <w:r>
        <w:rPr>
          <w:rFonts w:hint="eastAsia" w:ascii="仿宋" w:hAnsi="仿宋" w:eastAsia="仿宋"/>
          <w:bCs/>
          <w:sz w:val="28"/>
          <w:szCs w:val="28"/>
        </w:rPr>
        <w:t>关联产业开发部分实务及案例</w:t>
      </w:r>
    </w:p>
    <w:p>
      <w:pPr>
        <w:spacing w:line="480" w:lineRule="exact"/>
        <w:ind w:firstLine="56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 xml:space="preserve">  1.EOD</w:t>
      </w:r>
      <w:r>
        <w:rPr>
          <w:rFonts w:hint="eastAsia" w:ascii="仿宋" w:hAnsi="仿宋" w:eastAsia="仿宋"/>
          <w:bCs/>
          <w:sz w:val="28"/>
          <w:szCs w:val="28"/>
        </w:rPr>
        <w:t>项目产业占比情况分析及案例；</w:t>
      </w:r>
    </w:p>
    <w:p>
      <w:pPr>
        <w:spacing w:line="480" w:lineRule="exact"/>
        <w:ind w:firstLine="56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 xml:space="preserve"> 2.</w:t>
      </w:r>
      <w:r>
        <w:rPr>
          <w:rFonts w:hint="eastAsia" w:ascii="仿宋" w:hAnsi="仿宋" w:eastAsia="仿宋"/>
          <w:bCs/>
          <w:sz w:val="28"/>
          <w:szCs w:val="28"/>
        </w:rPr>
        <w:t>一主多辅的产业结构及案例；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3.</w:t>
      </w:r>
      <w:r>
        <w:rPr>
          <w:rFonts w:hint="eastAsia" w:ascii="仿宋" w:hAnsi="仿宋" w:eastAsia="仿宋"/>
          <w:bCs/>
          <w:sz w:val="28"/>
          <w:szCs w:val="28"/>
        </w:rPr>
        <w:t>多主互补的产业结构及案例；</w:t>
      </w:r>
    </w:p>
    <w:p>
      <w:pPr>
        <w:spacing w:line="480" w:lineRule="exact"/>
        <w:ind w:firstLine="56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 xml:space="preserve">  4.</w:t>
      </w:r>
      <w:r>
        <w:rPr>
          <w:rFonts w:hint="eastAsia" w:ascii="仿宋" w:hAnsi="仿宋" w:eastAsia="仿宋"/>
          <w:bCs/>
          <w:kern w:val="0"/>
          <w:sz w:val="28"/>
          <w:szCs w:val="28"/>
        </w:rPr>
        <w:t>生态</w:t>
      </w:r>
      <w:r>
        <w:rPr>
          <w:rFonts w:hint="eastAsia" w:ascii="仿宋" w:hAnsi="仿宋" w:eastAsia="仿宋"/>
          <w:bCs/>
          <w:sz w:val="28"/>
          <w:szCs w:val="28"/>
        </w:rPr>
        <w:t>治理和关联产业如何融合发展及案例。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（四）EOD模式的收益与市场化运作要点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1.基建领域推进市场化运作的政策背景；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2.何谓市场化运作下的项目收益自平衡？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3.EOD模式的主要收益来源；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4.EOD模式的收支平衡体系；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5.EOD模式下的政府、城投、施工企业权责分摊；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6.EOD模式下的“投资+建设一体化运作”。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kern w:val="0"/>
          <w:sz w:val="28"/>
          <w:szCs w:val="28"/>
        </w:rPr>
      </w:pPr>
      <w:r>
        <w:rPr>
          <w:rFonts w:hAnsi="仿宋" w:cs="仿宋"/>
          <w:bCs/>
          <w:kern w:val="0"/>
          <w:sz w:val="28"/>
          <w:szCs w:val="28"/>
        </w:rPr>
        <w:t>（五）EOD模式下的投融资实务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1.EOD模式核心要义解析；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2.EOD项目可否申请地方专项债券？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3.EOD与PPP模式的组合使用；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4.EOD模式下的存量资产盘活；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5.EOD项目如何申请政策性金融支持；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6.EOD项目的资本金筹集；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7.EOD基金概述及框架。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（五）非EOD模式下的生态环境治理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1.剖析EOD模式的局限性；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2</w:t>
      </w:r>
      <w:r>
        <w:rPr>
          <w:rFonts w:hint="default" w:hAnsi="仿宋" w:cs="仿宋"/>
          <w:kern w:val="0"/>
          <w:sz w:val="28"/>
          <w:szCs w:val="28"/>
        </w:rPr>
        <w:t>.非EOD模式下开展生态环境治理项目必要性和政策性支持</w:t>
      </w:r>
      <w:r>
        <w:rPr>
          <w:rFonts w:hAnsi="仿宋" w:cs="仿宋"/>
          <w:kern w:val="0"/>
          <w:sz w:val="28"/>
          <w:szCs w:val="28"/>
        </w:rPr>
        <w:t>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3</w:t>
      </w:r>
      <w:r>
        <w:rPr>
          <w:rFonts w:hint="default" w:hAnsi="仿宋" w:cs="仿宋"/>
          <w:kern w:val="0"/>
          <w:sz w:val="28"/>
          <w:szCs w:val="28"/>
        </w:rPr>
        <w:t>.非EOD模式下开展生态环境保护项目如何包装</w:t>
      </w:r>
      <w:r>
        <w:rPr>
          <w:rFonts w:hAnsi="仿宋" w:cs="仿宋"/>
          <w:kern w:val="0"/>
          <w:sz w:val="28"/>
          <w:szCs w:val="28"/>
        </w:rPr>
        <w:t>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4</w:t>
      </w:r>
      <w:r>
        <w:rPr>
          <w:rFonts w:hint="default" w:hAnsi="仿宋" w:cs="仿宋"/>
          <w:kern w:val="0"/>
          <w:sz w:val="28"/>
          <w:szCs w:val="28"/>
        </w:rPr>
        <w:t>.非EOD模式下的操作要点</w:t>
      </w:r>
      <w:r>
        <w:rPr>
          <w:rFonts w:hAnsi="仿宋" w:cs="仿宋"/>
          <w:kern w:val="0"/>
          <w:sz w:val="28"/>
          <w:szCs w:val="28"/>
        </w:rPr>
        <w:t>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5</w:t>
      </w:r>
      <w:r>
        <w:rPr>
          <w:rFonts w:hint="default" w:hAnsi="仿宋" w:cs="仿宋"/>
          <w:kern w:val="0"/>
          <w:sz w:val="28"/>
          <w:szCs w:val="28"/>
        </w:rPr>
        <w:t>.社会资本方参与生态保护修复领域的要点解读</w:t>
      </w:r>
      <w:r>
        <w:rPr>
          <w:rFonts w:hAnsi="仿宋" w:cs="仿宋"/>
          <w:kern w:val="0"/>
          <w:sz w:val="28"/>
          <w:szCs w:val="28"/>
        </w:rPr>
        <w:t>；</w:t>
      </w:r>
    </w:p>
    <w:p>
      <w:pPr>
        <w:pStyle w:val="2"/>
        <w:spacing w:line="520" w:lineRule="exact"/>
        <w:ind w:left="0" w:firstLine="840" w:firstLineChars="300"/>
        <w:rPr>
          <w:rFonts w:hint="default" w:hAnsi="仿宋" w:cs="仿宋"/>
          <w:kern w:val="0"/>
          <w:sz w:val="28"/>
          <w:szCs w:val="28"/>
        </w:rPr>
      </w:pPr>
      <w:r>
        <w:rPr>
          <w:rFonts w:hAnsi="仿宋" w:cs="仿宋"/>
          <w:kern w:val="0"/>
          <w:sz w:val="28"/>
          <w:szCs w:val="28"/>
        </w:rPr>
        <w:t>6</w:t>
      </w:r>
      <w:r>
        <w:rPr>
          <w:rFonts w:hint="default" w:hAnsi="仿宋" w:cs="仿宋"/>
          <w:kern w:val="0"/>
          <w:sz w:val="28"/>
          <w:szCs w:val="28"/>
        </w:rPr>
        <w:t>.土地空间腾挪对</w:t>
      </w:r>
      <w:r>
        <w:rPr>
          <w:rFonts w:hAnsi="仿宋" w:cs="仿宋"/>
          <w:kern w:val="0"/>
          <w:sz w:val="28"/>
          <w:szCs w:val="28"/>
        </w:rPr>
        <w:t>地方国有</w:t>
      </w:r>
      <w:r>
        <w:rPr>
          <w:rFonts w:hint="default" w:hAnsi="仿宋" w:cs="仿宋"/>
          <w:kern w:val="0"/>
          <w:sz w:val="28"/>
          <w:szCs w:val="28"/>
        </w:rPr>
        <w:t>企业及项目操作的意义和方式</w:t>
      </w:r>
      <w:r>
        <w:rPr>
          <w:rFonts w:hAnsi="仿宋" w:cs="仿宋"/>
          <w:kern w:val="0"/>
          <w:sz w:val="28"/>
          <w:szCs w:val="28"/>
        </w:rPr>
        <w:t>。</w:t>
      </w:r>
    </w:p>
    <w:p>
      <w:pPr>
        <w:pStyle w:val="2"/>
        <w:spacing w:line="520" w:lineRule="exact"/>
        <w:ind w:left="0" w:firstLine="592"/>
        <w:rPr>
          <w:rFonts w:hint="default" w:hAnsi="仿宋"/>
          <w:spacing w:val="8"/>
          <w:sz w:val="28"/>
          <w:szCs w:val="28"/>
        </w:rPr>
      </w:pPr>
      <w:r>
        <w:rPr>
          <w:rFonts w:hAnsi="仿宋"/>
          <w:spacing w:val="8"/>
          <w:sz w:val="28"/>
          <w:szCs w:val="28"/>
        </w:rPr>
        <w:t>（六）</w:t>
      </w:r>
      <w:r>
        <w:rPr>
          <w:rFonts w:hAnsi="仿宋" w:cs="仿宋"/>
          <w:kern w:val="0"/>
          <w:sz w:val="28"/>
          <w:szCs w:val="28"/>
        </w:rPr>
        <w:t>片区综合开发投融资模式及案例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1.PPP模式在片区综合开发应用中存在的短板；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2.政府授权国企与投资者合作模式；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3.ABO模式自身存在的短板及缓释措施与案例；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4.地方政府对国有企业政策及资源支持途径及案例；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5.投资人+EPC模式合规性与违规性分析及片区包装设计；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6.投资人+EPC模式所涉及资产归属及回报机制设计；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7.如何识别市场中违规的“投资人+EPC”模式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8.避免“投资人+EPC”模式违规的操作要点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9.“F+EPC”模式与“投资人+EPC”模式的区别与联系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10.如何促进“F+EPC”模式的合规性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11</w:t>
      </w:r>
      <w:r>
        <w:rPr>
          <w:rFonts w:hint="eastAsia" w:ascii="仿宋" w:hAnsi="仿宋" w:eastAsia="仿宋" w:cs="仿宋"/>
          <w:kern w:val="0"/>
          <w:sz w:val="28"/>
          <w:szCs w:val="28"/>
        </w:rPr>
        <w:t>.封闭运作、滚动开发、自求平衡模式解析及架构图分析。</w:t>
      </w:r>
    </w:p>
    <w:p>
      <w:pPr>
        <w:snapToGrid w:val="0"/>
        <w:spacing w:line="5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（七）公益性与经营性综合打包项目的运作模式要点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1.哪些领域适合开展综合性项目；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2.公益性与经营性综合打包项目的政策支持依据；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3.公益性项目与经营性项目综合打包的资金平衡要点；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4.如何处理项目打包时的土地捆绑出让问题；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5.财政资金在综合打包项目中如何应用；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6.土地出让金如何实现对项目的反哺；</w:t>
      </w:r>
    </w:p>
    <w:p>
      <w:pPr>
        <w:snapToGrid w:val="0"/>
        <w:spacing w:line="520" w:lineRule="exact"/>
        <w:ind w:firstLine="840" w:firstLineChars="3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7.政府/国有企业如何与社会资本方进行综合性项目的合作；</w:t>
      </w:r>
    </w:p>
    <w:p>
      <w:pPr>
        <w:snapToGrid w:val="0"/>
        <w:spacing w:line="520" w:lineRule="exact"/>
        <w:ind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8、TOD模式的应用领域及操作要点。</w:t>
      </w:r>
    </w:p>
    <w:p>
      <w:pPr>
        <w:spacing w:line="480" w:lineRule="exact"/>
        <w:ind w:right="-147" w:rightChars="-70"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（八）央企、国企参与片区综合开发模式探讨及案例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1.央企、国企参与片区开发的难点和风险点分析；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2.央企、国企与地方平台公司之间的合作模式；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3.如何寻求政府财政合规的支持、支持途径及案例；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4.政府对片区项目补贴方式、补贴类型及范围；</w:t>
      </w:r>
    </w:p>
    <w:p>
      <w:pPr>
        <w:spacing w:line="480" w:lineRule="exact"/>
        <w:ind w:right="-147" w:rightChars="-70" w:firstLine="840" w:firstLineChars="300"/>
        <w:jc w:val="left"/>
      </w:pPr>
      <w:r>
        <w:rPr>
          <w:rFonts w:hint="eastAsia" w:ascii="仿宋" w:hAnsi="仿宋" w:eastAsia="仿宋" w:cs="仿宋"/>
          <w:bCs/>
          <w:sz w:val="28"/>
          <w:szCs w:val="28"/>
        </w:rPr>
        <w:t>5.如何争取地方政府专项债券对项目支持及案例。</w:t>
      </w:r>
    </w:p>
    <w:p>
      <w:pPr>
        <w:pStyle w:val="2"/>
        <w:spacing w:line="48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（九）城市更新项目投融资模式及案例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1.城市更新的拆迁类、改建类、整治类内容解析；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2.城市更新实施主体的确定方式及案例；</w:t>
      </w:r>
    </w:p>
    <w:p>
      <w:pPr>
        <w:spacing w:line="480" w:lineRule="exact"/>
        <w:ind w:left="1120" w:leftChars="400" w:right="-147" w:rightChars="-70" w:hanging="280" w:hangingChars="1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3.老旧小区、老旧厂区、老旧街区、城中村改造的实施方式及案例；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4.城市更新项目融资方式及案例；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5.社会资本参与城市更新模式及案例；</w:t>
      </w:r>
    </w:p>
    <w:p>
      <w:pPr>
        <w:spacing w:line="480" w:lineRule="exact"/>
        <w:ind w:right="-147" w:rightChars="-70"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6.城市更新基金的当前应用情况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7.如何发挥地方国有企业在城市更新项目中的作用；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8.施工类央企参与城市更新项目的关注领域；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9.如何提高施工类央企在城市更新项目中的市场竞争力；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10.土地政策及土地一二级联动；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11.城市更新中的财政支持政策；</w:t>
      </w:r>
    </w:p>
    <w:p>
      <w:pPr>
        <w:spacing w:line="480" w:lineRule="exact"/>
        <w:ind w:right="-147" w:rightChars="-70"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12.城市更新中的金融政策；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</w:t>
      </w:r>
      <w:r>
        <w:rPr>
          <w:rFonts w:ascii="仿宋" w:hAnsi="仿宋" w:eastAsia="仿宋" w:cs="仿宋"/>
          <w:sz w:val="28"/>
          <w:szCs w:val="28"/>
        </w:rPr>
        <w:t>化解地方政府</w:t>
      </w:r>
      <w:r>
        <w:rPr>
          <w:rFonts w:hint="eastAsia" w:ascii="仿宋" w:hAnsi="仿宋" w:eastAsia="仿宋" w:cs="仿宋"/>
          <w:sz w:val="28"/>
          <w:szCs w:val="28"/>
        </w:rPr>
        <w:t>隐性</w:t>
      </w:r>
      <w:r>
        <w:rPr>
          <w:rFonts w:ascii="仿宋" w:hAnsi="仿宋" w:eastAsia="仿宋" w:cs="仿宋"/>
          <w:sz w:val="28"/>
          <w:szCs w:val="28"/>
        </w:rPr>
        <w:t>债务风险及案例</w:t>
      </w:r>
    </w:p>
    <w:p>
      <w:pPr>
        <w:pStyle w:val="2"/>
        <w:spacing w:line="480" w:lineRule="exact"/>
        <w:ind w:firstLine="560"/>
        <w:rPr>
          <w:rFonts w:hint="default" w:hAnsi="仿宋"/>
          <w:sz w:val="28"/>
          <w:szCs w:val="28"/>
        </w:rPr>
      </w:pPr>
      <w:r>
        <w:rPr>
          <w:rFonts w:hAnsi="仿宋"/>
          <w:sz w:val="28"/>
          <w:szCs w:val="28"/>
        </w:rPr>
        <w:t xml:space="preserve"> </w:t>
      </w:r>
      <w:r>
        <w:rPr>
          <w:rFonts w:hint="default" w:hAnsi="仿宋"/>
          <w:sz w:val="28"/>
          <w:szCs w:val="28"/>
        </w:rPr>
        <w:t>1.</w:t>
      </w:r>
      <w:r>
        <w:rPr>
          <w:rFonts w:hAnsi="仿宋"/>
          <w:sz w:val="28"/>
          <w:szCs w:val="28"/>
        </w:rPr>
        <w:t>以再融资债券置换地方政府隐性债务方式及案例；</w:t>
      </w:r>
    </w:p>
    <w:p>
      <w:pPr>
        <w:pStyle w:val="2"/>
        <w:spacing w:line="480" w:lineRule="exact"/>
        <w:ind w:firstLine="700" w:firstLineChars="250"/>
        <w:rPr>
          <w:rFonts w:hint="default" w:hAnsi="仿宋"/>
          <w:sz w:val="28"/>
          <w:szCs w:val="28"/>
        </w:rPr>
      </w:pPr>
      <w:r>
        <w:rPr>
          <w:rFonts w:hint="default" w:hAnsi="仿宋"/>
          <w:sz w:val="28"/>
          <w:szCs w:val="28"/>
        </w:rPr>
        <w:t>2.</w:t>
      </w:r>
      <w:r>
        <w:rPr>
          <w:rFonts w:hAnsi="仿宋"/>
          <w:sz w:val="28"/>
          <w:szCs w:val="28"/>
        </w:rPr>
        <w:t>城投债置换政府专项债途径及案例；</w:t>
      </w:r>
    </w:p>
    <w:p>
      <w:pPr>
        <w:pStyle w:val="2"/>
        <w:spacing w:line="480" w:lineRule="exact"/>
        <w:ind w:left="923" w:leftChars="306" w:hanging="280" w:hangingChars="100"/>
        <w:rPr>
          <w:rFonts w:hint="default" w:hAnsi="仿宋"/>
          <w:sz w:val="28"/>
          <w:szCs w:val="28"/>
        </w:rPr>
      </w:pPr>
      <w:r>
        <w:rPr>
          <w:rFonts w:hAnsi="仿宋"/>
          <w:sz w:val="28"/>
          <w:szCs w:val="28"/>
        </w:rPr>
        <w:t xml:space="preserve"> </w:t>
      </w:r>
      <w:r>
        <w:rPr>
          <w:rFonts w:hint="default" w:hAnsi="仿宋"/>
          <w:sz w:val="28"/>
          <w:szCs w:val="28"/>
        </w:rPr>
        <w:t xml:space="preserve"> 3.城投公司解决债务、防止债务爆雷途径（时间换空间、存</w:t>
      </w:r>
    </w:p>
    <w:p>
      <w:pPr>
        <w:pStyle w:val="2"/>
        <w:spacing w:line="480" w:lineRule="exact"/>
        <w:ind w:left="853" w:leftChars="406" w:firstLine="280" w:firstLineChars="100"/>
        <w:rPr>
          <w:rFonts w:hint="default" w:hAnsi="仿宋"/>
          <w:sz w:val="28"/>
          <w:szCs w:val="28"/>
        </w:rPr>
      </w:pPr>
      <w:r>
        <w:rPr>
          <w:rFonts w:hint="default" w:hAnsi="仿宋"/>
          <w:sz w:val="28"/>
          <w:szCs w:val="28"/>
        </w:rPr>
        <w:t>量活增量、投资带融资、结构控风险）及案例</w:t>
      </w:r>
      <w:r>
        <w:rPr>
          <w:rFonts w:hAnsi="仿宋"/>
          <w:sz w:val="28"/>
          <w:szCs w:val="28"/>
        </w:rPr>
        <w:t>；</w:t>
      </w:r>
    </w:p>
    <w:p>
      <w:pPr>
        <w:pStyle w:val="2"/>
        <w:spacing w:line="480" w:lineRule="exact"/>
        <w:ind w:left="0" w:firstLine="840" w:firstLineChars="300"/>
        <w:rPr>
          <w:rFonts w:hint="default" w:hAnsi="仿宋"/>
          <w:sz w:val="28"/>
          <w:szCs w:val="28"/>
        </w:rPr>
      </w:pPr>
      <w:r>
        <w:rPr>
          <w:rFonts w:hint="default" w:hAnsi="仿宋"/>
          <w:sz w:val="28"/>
          <w:szCs w:val="28"/>
        </w:rPr>
        <w:t>4.城投公司银行</w:t>
      </w:r>
      <w:r>
        <w:rPr>
          <w:rFonts w:hAnsi="仿宋"/>
          <w:sz w:val="28"/>
          <w:szCs w:val="28"/>
        </w:rPr>
        <w:t>贷款市场化债务重组操作及案例；</w:t>
      </w:r>
    </w:p>
    <w:p>
      <w:pPr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5.广东、北京完成全域无隐性债务分析及案例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exact"/>
        <w:ind w:right="-147" w:rightChars="-70"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（十一）</w:t>
      </w:r>
      <w:r>
        <w:rPr>
          <w:rFonts w:ascii="仿宋" w:hAnsi="仿宋" w:eastAsia="仿宋" w:cs="仿宋"/>
          <w:bCs/>
          <w:sz w:val="28"/>
          <w:szCs w:val="28"/>
        </w:rPr>
        <w:t>新型县城城镇化建设项目的谋划与投融资分析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1.县城城镇化建设项目的</w:t>
      </w:r>
      <w:r>
        <w:rPr>
          <w:rFonts w:hint="eastAsia" w:ascii="仿宋" w:hAnsi="仿宋" w:eastAsia="仿宋" w:cs="仿宋"/>
          <w:bCs/>
          <w:sz w:val="28"/>
          <w:szCs w:val="28"/>
        </w:rPr>
        <w:t>实务解析</w:t>
      </w:r>
      <w:r>
        <w:rPr>
          <w:rFonts w:ascii="仿宋" w:hAnsi="仿宋" w:eastAsia="仿宋" w:cs="仿宋"/>
          <w:bCs/>
          <w:sz w:val="28"/>
          <w:szCs w:val="28"/>
        </w:rPr>
        <w:t>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2.县城城镇化建设项目的包装设计；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3.县城城镇化建设项目的企业债券发行；</w:t>
      </w:r>
    </w:p>
    <w:p>
      <w:pPr>
        <w:spacing w:line="480" w:lineRule="exact"/>
        <w:ind w:right="-147" w:rightChars="-70"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4.县城城镇化建设项目的银行贷款；</w:t>
      </w:r>
    </w:p>
    <w:p>
      <w:pPr>
        <w:spacing w:line="480" w:lineRule="exact"/>
        <w:ind w:right="-147" w:rightChars="-70"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5.县城城镇化建设项目的经营性与公益性项目综合打包问题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hint="eastAsia" w:ascii="仿宋" w:hAnsi="仿宋" w:eastAsia="仿宋"/>
          <w:spacing w:val="8"/>
          <w:sz w:val="28"/>
          <w:szCs w:val="28"/>
        </w:rPr>
        <w:t>6.如何在县城城镇化建设项目中使用财政资金；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hint="eastAsia" w:ascii="仿宋" w:hAnsi="仿宋" w:eastAsia="仿宋"/>
          <w:spacing w:val="8"/>
          <w:sz w:val="28"/>
          <w:szCs w:val="28"/>
        </w:rPr>
        <w:t>7.地方国有企业在县城城镇化项目中的作用和操作要点；</w:t>
      </w:r>
    </w:p>
    <w:p>
      <w:pPr>
        <w:spacing w:line="480" w:lineRule="exact"/>
        <w:ind w:firstLine="888" w:firstLineChars="300"/>
        <w:jc w:val="left"/>
        <w:rPr>
          <w:rFonts w:hint="eastAsia" w:ascii="仿宋" w:hAnsi="仿宋" w:eastAsia="仿宋"/>
          <w:spacing w:val="8"/>
          <w:sz w:val="28"/>
          <w:szCs w:val="28"/>
        </w:rPr>
      </w:pPr>
      <w:r>
        <w:rPr>
          <w:rFonts w:hint="eastAsia" w:ascii="仿宋" w:hAnsi="仿宋" w:eastAsia="仿宋"/>
          <w:spacing w:val="8"/>
          <w:sz w:val="28"/>
          <w:szCs w:val="28"/>
        </w:rPr>
        <w:t>8.施工类企业在县城城镇化项目中的运作模式。</w:t>
      </w:r>
    </w:p>
    <w:p>
      <w:pPr>
        <w:spacing w:line="480" w:lineRule="exact"/>
        <w:ind w:firstLine="592" w:firstLineChars="2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hint="eastAsia" w:ascii="仿宋" w:hAnsi="仿宋" w:eastAsia="仿宋"/>
          <w:spacing w:val="8"/>
          <w:sz w:val="28"/>
          <w:szCs w:val="28"/>
        </w:rPr>
        <w:t>（十二）</w:t>
      </w:r>
      <w:r>
        <w:rPr>
          <w:rFonts w:ascii="仿宋" w:hAnsi="仿宋" w:eastAsia="仿宋"/>
          <w:spacing w:val="8"/>
          <w:sz w:val="28"/>
          <w:szCs w:val="28"/>
        </w:rPr>
        <w:t>土地储备和土地一级开发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ascii="仿宋" w:hAnsi="仿宋" w:eastAsia="仿宋"/>
          <w:spacing w:val="8"/>
          <w:sz w:val="28"/>
          <w:szCs w:val="28"/>
        </w:rPr>
        <w:t>1.土地储备与土地一级开发的关系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ascii="仿宋" w:hAnsi="仿宋" w:eastAsia="仿宋"/>
          <w:spacing w:val="8"/>
          <w:sz w:val="28"/>
          <w:szCs w:val="28"/>
        </w:rPr>
        <w:t>2.对当前土地储备和土地一级开发的现状分析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ascii="仿宋" w:hAnsi="仿宋" w:eastAsia="仿宋"/>
          <w:spacing w:val="8"/>
          <w:sz w:val="28"/>
          <w:szCs w:val="28"/>
        </w:rPr>
        <w:t>3.地方国有企业在土地储备中的作用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ascii="仿宋" w:hAnsi="仿宋" w:eastAsia="仿宋"/>
          <w:spacing w:val="8"/>
          <w:sz w:val="28"/>
          <w:szCs w:val="28"/>
        </w:rPr>
        <w:t>4.土地储备的资金来源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ascii="仿宋" w:hAnsi="仿宋" w:eastAsia="仿宋"/>
          <w:spacing w:val="8"/>
          <w:sz w:val="28"/>
          <w:szCs w:val="28"/>
        </w:rPr>
        <w:t>5.土地储备融资的探索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ascii="仿宋" w:hAnsi="仿宋" w:eastAsia="仿宋"/>
          <w:spacing w:val="8"/>
          <w:sz w:val="28"/>
          <w:szCs w:val="28"/>
        </w:rPr>
        <w:t>6.做地模式的合规性分析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ascii="仿宋" w:hAnsi="仿宋" w:eastAsia="仿宋"/>
          <w:spacing w:val="8"/>
          <w:sz w:val="28"/>
          <w:szCs w:val="28"/>
        </w:rPr>
        <w:t>7.社会资本是否能够参与土地储备项目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hint="eastAsia" w:ascii="仿宋" w:hAnsi="仿宋" w:eastAsia="仿宋"/>
          <w:spacing w:val="8"/>
          <w:sz w:val="28"/>
          <w:szCs w:val="28"/>
        </w:rPr>
        <w:t>8</w:t>
      </w:r>
      <w:r>
        <w:rPr>
          <w:rFonts w:ascii="仿宋" w:hAnsi="仿宋" w:eastAsia="仿宋"/>
          <w:spacing w:val="8"/>
          <w:sz w:val="28"/>
          <w:szCs w:val="28"/>
        </w:rPr>
        <w:t>.土地储备在片区开发中的应用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hint="eastAsia" w:ascii="仿宋" w:hAnsi="仿宋" w:eastAsia="仿宋"/>
          <w:spacing w:val="8"/>
          <w:sz w:val="28"/>
          <w:szCs w:val="28"/>
        </w:rPr>
        <w:t>9</w:t>
      </w:r>
      <w:r>
        <w:rPr>
          <w:rFonts w:ascii="仿宋" w:hAnsi="仿宋" w:eastAsia="仿宋"/>
          <w:spacing w:val="8"/>
          <w:sz w:val="28"/>
          <w:szCs w:val="28"/>
        </w:rPr>
        <w:t>.如何在土地一级开发中避免政府隐性债务</w:t>
      </w:r>
      <w:r>
        <w:rPr>
          <w:rFonts w:hint="eastAsia" w:ascii="仿宋" w:hAnsi="仿宋" w:eastAsia="仿宋"/>
          <w:spacing w:val="8"/>
          <w:sz w:val="28"/>
          <w:szCs w:val="28"/>
        </w:rPr>
        <w:t>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spacing w:val="8"/>
          <w:sz w:val="28"/>
          <w:szCs w:val="28"/>
        </w:rPr>
      </w:pPr>
      <w:r>
        <w:rPr>
          <w:rFonts w:ascii="仿宋" w:hAnsi="仿宋" w:eastAsia="仿宋"/>
          <w:spacing w:val="8"/>
          <w:sz w:val="28"/>
          <w:szCs w:val="28"/>
        </w:rPr>
        <w:t>1</w:t>
      </w:r>
      <w:r>
        <w:rPr>
          <w:rFonts w:hint="eastAsia" w:ascii="仿宋" w:hAnsi="仿宋" w:eastAsia="仿宋"/>
          <w:spacing w:val="8"/>
          <w:sz w:val="28"/>
          <w:szCs w:val="28"/>
        </w:rPr>
        <w:t>0</w:t>
      </w:r>
      <w:r>
        <w:rPr>
          <w:rFonts w:ascii="仿宋" w:hAnsi="仿宋" w:eastAsia="仿宋"/>
          <w:spacing w:val="8"/>
          <w:sz w:val="28"/>
          <w:szCs w:val="28"/>
        </w:rPr>
        <w:t>.土地出让金的反哺前期开发问题</w:t>
      </w:r>
      <w:r>
        <w:rPr>
          <w:rFonts w:hint="eastAsia" w:ascii="仿宋" w:hAnsi="仿宋" w:eastAsia="仿宋"/>
          <w:spacing w:val="8"/>
          <w:sz w:val="28"/>
          <w:szCs w:val="28"/>
        </w:rPr>
        <w:t>。</w:t>
      </w:r>
    </w:p>
    <w:p>
      <w:pPr>
        <w:spacing w:line="4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三、培训对象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各级发改、财政、环保、住建、交通、水利、农业</w:t>
      </w:r>
      <w:r>
        <w:rPr>
          <w:rFonts w:hint="eastAsia" w:ascii="仿宋" w:hAnsi="仿宋" w:eastAsia="仿宋" w:cs="仿宋"/>
          <w:bCs/>
          <w:sz w:val="28"/>
          <w:szCs w:val="28"/>
        </w:rPr>
        <w:t>农村</w:t>
      </w:r>
      <w:r>
        <w:rPr>
          <w:rFonts w:ascii="仿宋" w:hAnsi="仿宋" w:eastAsia="仿宋" w:cs="仿宋"/>
          <w:bCs/>
          <w:sz w:val="28"/>
          <w:szCs w:val="28"/>
        </w:rPr>
        <w:t>、林草、文旅等政府部门工作人员；城投公司</w:t>
      </w:r>
      <w:r>
        <w:rPr>
          <w:rFonts w:hint="eastAsia" w:ascii="仿宋" w:hAnsi="仿宋" w:eastAsia="仿宋" w:cs="仿宋"/>
          <w:bCs/>
          <w:sz w:val="28"/>
          <w:szCs w:val="28"/>
        </w:rPr>
        <w:t>为代表的各</w:t>
      </w:r>
      <w:r>
        <w:rPr>
          <w:rFonts w:ascii="仿宋" w:hAnsi="仿宋" w:eastAsia="仿宋" w:cs="仿宋"/>
          <w:bCs/>
          <w:sz w:val="28"/>
          <w:szCs w:val="28"/>
        </w:rPr>
        <w:t>类平台公司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ascii="仿宋" w:hAnsi="仿宋" w:eastAsia="仿宋" w:cs="仿宋"/>
          <w:bCs/>
          <w:sz w:val="28"/>
          <w:szCs w:val="28"/>
        </w:rPr>
        <w:t>污水垃圾处理、供水供气供热、仓储物流、新能源、环保及建筑施工等企业管理人员；银行、证券、基金、信托、保险等金融机构专业人员。</w:t>
      </w:r>
    </w:p>
    <w:p>
      <w:pPr>
        <w:spacing w:line="4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授课师资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邀请发改、财政、金融及法律等领域专家，采用专题讲座、现场答疑、互动交流等形式进行授课。</w:t>
      </w:r>
    </w:p>
    <w:p>
      <w:pPr>
        <w:numPr>
          <w:ilvl w:val="0"/>
          <w:numId w:val="2"/>
        </w:numPr>
        <w:spacing w:line="4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培训时间与地点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2023年06月16日—06月19日    合肥市 （16日全天报到）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2023年06月2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日—0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日    青岛市（2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日全天报到）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2023年07月13日—07月16日    呼和浩特 （13日全天报到）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2023年07月26日—07月29日    贵阳市（26日全天报到）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2023年08月10日—08月13日    长春市（10日全天报到）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2023年08月25日—08月28日    银川市（25日全天报到）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2023年09月14日—09月17日    昆明市（14日全天报到）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2023年09月22日—09月25日    成都市（22日全天报到）</w:t>
      </w:r>
    </w:p>
    <w:p>
      <w:pPr>
        <w:spacing w:line="4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六、收费标准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spacing w:line="460" w:lineRule="exact"/>
        <w:ind w:firstLine="560" w:firstLineChars="200"/>
        <w:rPr>
          <w:rFonts w:ascii="仿宋" w:hAnsi="仿宋" w:eastAsia="仿宋"/>
          <w:spacing w:val="8"/>
          <w:sz w:val="30"/>
          <w:szCs w:val="30"/>
        </w:rPr>
      </w:pPr>
      <w:r>
        <w:rPr>
          <w:rFonts w:ascii="仿宋" w:hAnsi="仿宋" w:eastAsia="仿宋" w:cs="仿宋"/>
          <w:bCs/>
          <w:sz w:val="28"/>
          <w:szCs w:val="28"/>
        </w:rPr>
        <w:t>B.5600元/人（含培训、资料、电子课件、场地、证书及培训期间午餐），住宿统一安排，费用自理。培训结束后，经考核合格，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sz w:val="28"/>
          <w:szCs w:val="28"/>
        </w:rPr>
        <w:t>由中国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投资协会</w:t>
      </w:r>
      <w:r>
        <w:rPr>
          <w:rFonts w:hint="eastAsia" w:ascii="仿宋" w:hAnsi="仿宋" w:eastAsia="仿宋" w:cs="仿宋"/>
          <w:bCs/>
          <w:sz w:val="28"/>
          <w:szCs w:val="28"/>
        </w:rPr>
        <w:t>颁发《投融资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规划</w:t>
      </w:r>
      <w:r>
        <w:rPr>
          <w:rFonts w:hint="eastAsia" w:ascii="仿宋" w:hAnsi="仿宋" w:eastAsia="仿宋" w:cs="仿宋"/>
          <w:bCs/>
          <w:sz w:val="28"/>
          <w:szCs w:val="28"/>
        </w:rPr>
        <w:t>师》证书，需提供申报表、二寸蓝底免冠彩色照片、身份证复印件、学历证书复印件等电子版材料。</w:t>
      </w:r>
    </w:p>
    <w:p>
      <w:pPr>
        <w:spacing w:line="4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七、课程权益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（一）本培训班常年举办，本人一年内免费复训一次，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复训</w:t>
      </w: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只交资料费300元即可</w:t>
      </w:r>
      <w:r>
        <w:rPr>
          <w:rFonts w:ascii="仿宋" w:hAnsi="仿宋" w:eastAsia="仿宋" w:cs="仿宋"/>
          <w:bCs/>
          <w:sz w:val="28"/>
          <w:szCs w:val="28"/>
        </w:rPr>
        <w:t>；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（二）赠送中建科信集团</w:t>
      </w:r>
      <w:r>
        <w:rPr>
          <w:rFonts w:hint="eastAsia" w:ascii="仿宋" w:hAnsi="仿宋" w:eastAsia="仿宋" w:cs="仿宋"/>
          <w:bCs/>
          <w:sz w:val="28"/>
          <w:szCs w:val="28"/>
        </w:rPr>
        <w:t>整理的最新政策类资料</w:t>
      </w:r>
      <w:r>
        <w:rPr>
          <w:rFonts w:ascii="仿宋" w:hAnsi="仿宋" w:eastAsia="仿宋" w:cs="仿宋"/>
          <w:bCs/>
          <w:sz w:val="28"/>
          <w:szCs w:val="28"/>
        </w:rPr>
        <w:t>；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 xml:space="preserve">（三）免费定期推送各类行业政策新闻及专家解读等相关资讯； 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（四）</w:t>
      </w:r>
      <w:r>
        <w:rPr>
          <w:rFonts w:hint="eastAsia" w:ascii="仿宋" w:hAnsi="仿宋" w:eastAsia="仿宋" w:cs="仿宋"/>
          <w:bCs/>
          <w:sz w:val="28"/>
          <w:szCs w:val="28"/>
        </w:rPr>
        <w:t>平台公司市场化转型、项目包装设计、专项债券申报等</w:t>
      </w:r>
      <w:r>
        <w:rPr>
          <w:rFonts w:ascii="仿宋" w:hAnsi="仿宋" w:eastAsia="仿宋" w:cs="仿宋"/>
          <w:bCs/>
          <w:sz w:val="28"/>
          <w:szCs w:val="28"/>
        </w:rPr>
        <w:t xml:space="preserve">咨询服务9折优惠。 </w:t>
      </w:r>
    </w:p>
    <w:p>
      <w:pPr>
        <w:spacing w:line="52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八、联系方式</w:t>
      </w: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报名负责人：聂红军 主任18211071700（微信）   </w:t>
      </w: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电  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13141289128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 xml:space="preserve">      邮    箱：zqgphwz@126.com  </w:t>
      </w: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qq咨询：3177524020        网址查询：http://www.zqgpchina.cn</w:t>
      </w: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i/>
          <w:iCs/>
          <w:color w:val="000000"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</w:p>
    <w:p>
      <w:pPr>
        <w:spacing w:line="480" w:lineRule="exact"/>
        <w:ind w:right="-147" w:rightChars="-70"/>
        <w:jc w:val="center"/>
        <w:rPr>
          <w:rFonts w:cs="宋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在高质量发展下，</w:t>
      </w:r>
      <w:r>
        <w:rPr>
          <w:rFonts w:ascii="仿宋" w:hAnsi="仿宋" w:eastAsia="仿宋" w:cs="仿宋"/>
          <w:b/>
          <w:sz w:val="36"/>
          <w:szCs w:val="36"/>
        </w:rPr>
        <w:t>EOD模式运作、片区综合开发项目、城市更新项目谋划包装及政府债务防范化解操作实务高级研修班</w:t>
      </w:r>
      <w:r>
        <w:rPr>
          <w:rFonts w:hint="eastAsia" w:ascii="仿宋" w:hAnsi="仿宋" w:eastAsia="仿宋" w:cs="仿宋"/>
          <w:b/>
          <w:sz w:val="36"/>
          <w:szCs w:val="36"/>
        </w:rPr>
        <w:t>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《投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融资规划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师》□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开户名称：北京中建科信管理咨询集团有限公司</w:t>
            </w:r>
          </w:p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开 户 行：中国工商银行北京半壁店支行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账    号：0200247009200068235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，提供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pStyle w:val="2"/>
              <w:ind w:left="480" w:firstLine="480"/>
              <w:rPr>
                <w:rFonts w:hint="default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440" w:lineRule="exact"/>
        <w:ind w:right="-147" w:rightChars="-70"/>
        <w:rPr>
          <w:rStyle w:val="9"/>
          <w:rFonts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</w:p>
    <w:p>
      <w:pPr>
        <w:spacing w:line="440" w:lineRule="exact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zh-CN"/>
        </w:rPr>
        <w:t xml:space="preserve">报名负责人：聂红军 主任18211071700（微信）   </w:t>
      </w:r>
    </w:p>
    <w:p>
      <w:pPr>
        <w:spacing w:line="440" w:lineRule="exact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zh-CN"/>
        </w:rPr>
        <w:t>电  话：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13141289128 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zh-CN"/>
        </w:rPr>
        <w:t xml:space="preserve">      邮    箱：zqgphwz@126.com  </w:t>
      </w:r>
    </w:p>
    <w:p>
      <w:pPr>
        <w:spacing w:line="440" w:lineRule="exact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zh-CN"/>
        </w:rPr>
        <w:t>qq咨询：3177524020        网址查询：http://www.zqgpchina.cn</w:t>
      </w:r>
    </w:p>
    <w:p>
      <w:pPr>
        <w:spacing w:line="440" w:lineRule="exact"/>
        <w:rPr>
          <w:rStyle w:val="9"/>
          <w:rFonts w:hint="eastAsia" w:ascii="仿宋" w:hAnsi="仿宋" w:eastAsia="仿宋" w:cs="仿宋"/>
          <w:color w:val="000000"/>
          <w:spacing w:val="8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3D2B2"/>
    <w:multiLevelType w:val="singleLevel"/>
    <w:tmpl w:val="86F3D2B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2C228E"/>
    <w:multiLevelType w:val="multilevel"/>
    <w:tmpl w:val="732C228E"/>
    <w:lvl w:ilvl="0" w:tentative="0">
      <w:start w:val="6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NDM4Y2FiYTQ0ZDExNjg0MjEzZDViYjkxMTI4NDIifQ=="/>
  </w:docVars>
  <w:rsids>
    <w:rsidRoot w:val="00D51FAA"/>
    <w:rsid w:val="00000508"/>
    <w:rsid w:val="00037700"/>
    <w:rsid w:val="000A17E5"/>
    <w:rsid w:val="000A4852"/>
    <w:rsid w:val="001815E2"/>
    <w:rsid w:val="0027718C"/>
    <w:rsid w:val="00292E6A"/>
    <w:rsid w:val="003144E6"/>
    <w:rsid w:val="00327A7D"/>
    <w:rsid w:val="00406D20"/>
    <w:rsid w:val="0044681F"/>
    <w:rsid w:val="00455750"/>
    <w:rsid w:val="00464B66"/>
    <w:rsid w:val="00480F5F"/>
    <w:rsid w:val="004F014E"/>
    <w:rsid w:val="00650467"/>
    <w:rsid w:val="006672EF"/>
    <w:rsid w:val="00671A31"/>
    <w:rsid w:val="0067446E"/>
    <w:rsid w:val="00682707"/>
    <w:rsid w:val="006836BA"/>
    <w:rsid w:val="006A2ADA"/>
    <w:rsid w:val="006C5089"/>
    <w:rsid w:val="006D402B"/>
    <w:rsid w:val="0070729C"/>
    <w:rsid w:val="0074601B"/>
    <w:rsid w:val="007554FC"/>
    <w:rsid w:val="00770C10"/>
    <w:rsid w:val="00772C12"/>
    <w:rsid w:val="008F516C"/>
    <w:rsid w:val="00A244AC"/>
    <w:rsid w:val="00B05DFF"/>
    <w:rsid w:val="00B55E7C"/>
    <w:rsid w:val="00BC3588"/>
    <w:rsid w:val="00C54CDA"/>
    <w:rsid w:val="00C918E2"/>
    <w:rsid w:val="00CC6EA9"/>
    <w:rsid w:val="00CE06C5"/>
    <w:rsid w:val="00D51FAA"/>
    <w:rsid w:val="00D613DB"/>
    <w:rsid w:val="00DA6AE7"/>
    <w:rsid w:val="00F707DD"/>
    <w:rsid w:val="00F814AB"/>
    <w:rsid w:val="00F828B6"/>
    <w:rsid w:val="00FA1C1A"/>
    <w:rsid w:val="00FB33B5"/>
    <w:rsid w:val="0E3C32D3"/>
    <w:rsid w:val="0F2F58E0"/>
    <w:rsid w:val="14434157"/>
    <w:rsid w:val="14AD738E"/>
    <w:rsid w:val="25916E66"/>
    <w:rsid w:val="29EE2863"/>
    <w:rsid w:val="419C7DEA"/>
    <w:rsid w:val="42237912"/>
    <w:rsid w:val="4D5519C8"/>
    <w:rsid w:val="4D933821"/>
    <w:rsid w:val="4F95546D"/>
    <w:rsid w:val="511159A5"/>
    <w:rsid w:val="545306B4"/>
    <w:rsid w:val="563A5319"/>
    <w:rsid w:val="61131A15"/>
    <w:rsid w:val="63C72C14"/>
    <w:rsid w:val="65D540AA"/>
    <w:rsid w:val="6CD67880"/>
    <w:rsid w:val="72086956"/>
    <w:rsid w:val="78771BB8"/>
    <w:rsid w:val="7B5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4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paragraph" w:styleId="3">
    <w:name w:val="Body Text Indent"/>
    <w:basedOn w:val="1"/>
    <w:next w:val="4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字符"/>
    <w:basedOn w:val="8"/>
    <w:link w:val="3"/>
    <w:semiHidden/>
    <w:qFormat/>
    <w:uiPriority w:val="99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首行缩进 2 字符"/>
    <w:basedOn w:val="11"/>
    <w:link w:val="2"/>
    <w:qFormat/>
    <w:uiPriority w:val="99"/>
    <w:rPr>
      <w:rFonts w:ascii="仿宋" w:hAnsi="Times New Roman" w:eastAsia="仿宋" w:cs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2982</Words>
  <Characters>3439</Characters>
  <Lines>32</Lines>
  <Paragraphs>9</Paragraphs>
  <TotalTime>13</TotalTime>
  <ScaleCrop>false</ScaleCrop>
  <LinksUpToDate>false</LinksUpToDate>
  <CharactersWithSpaces>3619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2023-04-25T06:57:00Z</dcterms:created>
  <dc:creator>Lenovo</dc:creator>
  <cp:lastModifiedBy>Administrator</cp:lastModifiedBy>
  <cp:lastPrinted>2023-05-05T02:47:00Z</cp:lastPrinted>
  <dcterms:modified xsi:type="dcterms:W3CDTF">2023-05-07T05:27:22Z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84914EF9CB4D4003B2CAF46E06E8F9F5_13</vt:lpwstr>
  </property>
</Properties>
</file>