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-1200150</wp:posOffset>
            </wp:positionH>
            <wp:positionV relativeFrom="paragraph">
              <wp:posOffset>-960120</wp:posOffset>
            </wp:positionV>
            <wp:extent cx="7700010" cy="10803255"/>
            <wp:effectExtent l="0" t="0" r="15240" b="17145"/>
            <wp:wrapNone/>
            <wp:docPr id="1" name="图片 1" descr="CCI_000037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037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0010" cy="108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-963930</wp:posOffset>
            </wp:positionV>
            <wp:extent cx="7729220" cy="10803255"/>
            <wp:effectExtent l="0" t="0" r="5080" b="17145"/>
            <wp:wrapNone/>
            <wp:docPr id="2" name="图片 2" descr="CCI_000038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_000038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9220" cy="108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52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</w:p>
    <w:p>
      <w:pPr>
        <w:spacing w:line="52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培训收益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（一）了解当前我国宏观经济形势；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（二）学习并理解近期基建、投融资相关政策解析实务；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（三）学习地方专项债申报与管理；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（四）学习盘活存量资产方式及实操；</w:t>
      </w:r>
    </w:p>
    <w:p>
      <w:pPr>
        <w:pStyle w:val="2"/>
        <w:spacing w:line="520" w:lineRule="exact"/>
        <w:ind w:left="0" w:firstLine="56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（五）学习基础设施REITs项目申报及实操；</w:t>
      </w:r>
    </w:p>
    <w:p>
      <w:pPr>
        <w:pStyle w:val="2"/>
        <w:numPr>
          <w:ilvl w:val="0"/>
          <w:numId w:val="1"/>
        </w:numPr>
        <w:spacing w:line="520" w:lineRule="exact"/>
        <w:ind w:firstLineChars="0"/>
        <w:rPr>
          <w:rFonts w:hint="default" w:hAnsi="仿宋" w:cs="仿宋"/>
          <w:bCs/>
          <w:sz w:val="28"/>
          <w:szCs w:val="28"/>
        </w:rPr>
      </w:pPr>
      <w:r>
        <w:rPr>
          <w:rFonts w:hAnsi="仿宋" w:cs="仿宋"/>
          <w:bCs/>
          <w:sz w:val="28"/>
          <w:szCs w:val="28"/>
        </w:rPr>
        <w:t>学习各地项目谋划包装经典案例。</w:t>
      </w:r>
    </w:p>
    <w:p>
      <w:pPr>
        <w:pStyle w:val="2"/>
        <w:spacing w:line="520" w:lineRule="exact"/>
        <w:ind w:left="0" w:firstLine="0" w:firstLineChars="0"/>
        <w:rPr>
          <w:rFonts w:hAnsi="仿宋" w:cs="仿宋"/>
          <w:bCs/>
          <w:sz w:val="28"/>
          <w:szCs w:val="28"/>
        </w:rPr>
      </w:pPr>
      <w:r>
        <w:rPr>
          <w:rFonts w:hAnsi="仿宋" w:cs="仿宋"/>
          <w:b/>
          <w:bCs/>
          <w:sz w:val="28"/>
          <w:szCs w:val="28"/>
        </w:rPr>
        <w:t>二、培训内容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（一）分类盘活存量资产政策解析及实务操作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1.《国务院办公厅关于进一步盘活存量资产扩大有效投资的</w:t>
      </w:r>
    </w:p>
    <w:p>
      <w:pPr>
        <w:spacing w:line="480" w:lineRule="exact"/>
        <w:ind w:firstLine="1120" w:firstLineChars="4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意见》（国办发〔2022〕19号）重点内容解读；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2.《关于推进国有企业盘活利用存量土地有关问题的通知》</w:t>
      </w:r>
    </w:p>
    <w:p>
      <w:pPr>
        <w:spacing w:line="480" w:lineRule="exact"/>
        <w:ind w:firstLine="1120" w:firstLineChars="4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（自然资发〔2022〕205号）重点内容解读；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3.《财政部关于盘活行政事业单位国有资产的指导意见》（财</w:t>
      </w:r>
    </w:p>
    <w:p>
      <w:pPr>
        <w:spacing w:line="480" w:lineRule="exact"/>
        <w:ind w:firstLine="1120" w:firstLineChars="4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资〔2022〕124号）重点内容解读；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4.政策性银行盘活存量国有资产贷款模式政策指引；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5.盘活行政事业单位国有资产的关注要点和盘活方式；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6.行政事业单位国有资产的市场化方式出租、出售的操作方</w:t>
      </w:r>
    </w:p>
    <w:p>
      <w:pPr>
        <w:spacing w:line="480" w:lineRule="exact"/>
        <w:ind w:firstLine="1120" w:firstLineChars="4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式；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7.如何避免虚假交易和变相虚增财政收入；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8.挖掘闲置低效资产价值的方式；</w:t>
      </w:r>
    </w:p>
    <w:p>
      <w:pPr>
        <w:spacing w:line="480" w:lineRule="exact"/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</w:t>
      </w:r>
      <w:r>
        <w:rPr>
          <w:rFonts w:ascii="仿宋" w:hAnsi="仿宋" w:eastAsia="仿宋" w:cs="Arial"/>
          <w:sz w:val="28"/>
          <w:szCs w:val="28"/>
        </w:rPr>
        <w:t>国家发改委盘活存量资产典型案例</w:t>
      </w:r>
      <w:r>
        <w:rPr>
          <w:rFonts w:hint="eastAsia" w:ascii="仿宋" w:hAnsi="仿宋" w:eastAsia="仿宋" w:cs="Arial"/>
          <w:sz w:val="28"/>
          <w:szCs w:val="28"/>
        </w:rPr>
        <w:t>解析；</w:t>
      </w:r>
    </w:p>
    <w:p>
      <w:pPr>
        <w:spacing w:line="480" w:lineRule="exact"/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10.</w:t>
      </w:r>
      <w:r>
        <w:rPr>
          <w:rFonts w:hint="eastAsia" w:ascii="仿宋" w:hAnsi="仿宋" w:eastAsia="仿宋" w:cs="仿宋"/>
          <w:bCs/>
          <w:sz w:val="28"/>
          <w:szCs w:val="28"/>
        </w:rPr>
        <w:t>完善存量资产盘活的七种方式解析及案例；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11.</w:t>
      </w:r>
      <w:r>
        <w:rPr>
          <w:rFonts w:hint="eastAsia" w:ascii="仿宋" w:hAnsi="仿宋" w:eastAsia="仿宋" w:cs="仿宋"/>
          <w:bCs/>
          <w:sz w:val="28"/>
          <w:szCs w:val="28"/>
        </w:rPr>
        <w:t>分类创新盘活存量资产的逻辑思路；</w:t>
      </w:r>
    </w:p>
    <w:p>
      <w:pPr>
        <w:spacing w:line="480" w:lineRule="exact"/>
        <w:ind w:firstLine="840" w:firstLineChars="3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12.</w:t>
      </w:r>
      <w:r>
        <w:rPr>
          <w:rFonts w:hint="eastAsia" w:ascii="仿宋" w:hAnsi="仿宋" w:eastAsia="仿宋" w:cs="仿宋"/>
          <w:bCs/>
          <w:sz w:val="28"/>
          <w:szCs w:val="28"/>
        </w:rPr>
        <w:t>市政及旅游道路盘活方式及案例。</w:t>
      </w:r>
    </w:p>
    <w:p>
      <w:pPr>
        <w:spacing w:line="480" w:lineRule="exact"/>
        <w:ind w:firstLine="56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（二）存量闲置土地资产盘活方式及案例</w:t>
      </w:r>
    </w:p>
    <w:p>
      <w:pPr>
        <w:spacing w:line="480" w:lineRule="exact"/>
        <w:ind w:firstLine="56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 xml:space="preserve">  1.</w:t>
      </w:r>
      <w:r>
        <w:rPr>
          <w:rFonts w:hint="eastAsia" w:ascii="仿宋" w:hAnsi="仿宋" w:eastAsia="仿宋" w:cs="仿宋"/>
          <w:bCs/>
          <w:sz w:val="28"/>
          <w:szCs w:val="28"/>
        </w:rPr>
        <w:t>交通枢纽地块、大宗</w:t>
      </w:r>
      <w:r>
        <w:rPr>
          <w:rFonts w:ascii="仿宋" w:hAnsi="仿宋" w:eastAsia="仿宋" w:cs="仿宋"/>
          <w:bCs/>
          <w:sz w:val="28"/>
          <w:szCs w:val="28"/>
        </w:rPr>
        <w:t>/</w:t>
      </w:r>
      <w:r>
        <w:rPr>
          <w:rFonts w:hint="eastAsia" w:ascii="仿宋" w:hAnsi="仿宋" w:eastAsia="仿宋" w:cs="仿宋"/>
          <w:bCs/>
          <w:sz w:val="28"/>
          <w:szCs w:val="28"/>
        </w:rPr>
        <w:t>新区地块盘活方式及案例；</w:t>
      </w:r>
    </w:p>
    <w:p>
      <w:pPr>
        <w:spacing w:line="480" w:lineRule="exact"/>
        <w:ind w:firstLine="56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</w:rPr>
        <w:t xml:space="preserve"> 2.</w:t>
      </w:r>
      <w:r>
        <w:rPr>
          <w:rFonts w:hint="eastAsia" w:ascii="仿宋" w:hAnsi="仿宋" w:eastAsia="仿宋" w:cs="仿宋"/>
          <w:bCs/>
          <w:sz w:val="28"/>
          <w:szCs w:val="28"/>
        </w:rPr>
        <w:t>高增值潜力地块盘活方式及案例；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闲置多年工业用地盘活方式及案例；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4.</w:t>
      </w:r>
      <w:r>
        <w:rPr>
          <w:rFonts w:hint="eastAsia" w:ascii="仿宋" w:hAnsi="仿宋" w:eastAsia="仿宋" w:cs="仿宋"/>
          <w:bCs/>
          <w:sz w:val="28"/>
          <w:szCs w:val="28"/>
        </w:rPr>
        <w:t>零碎小块闲置土地盘活方式及案例；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</w:t>
      </w:r>
      <w:r>
        <w:rPr>
          <w:rFonts w:ascii="仿宋" w:hAnsi="仿宋" w:eastAsia="仿宋" w:cs="仿宋"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“盘活闲置住宅用地+新项目建设”模式及案例。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R</w:t>
      </w:r>
      <w:r>
        <w:rPr>
          <w:rFonts w:ascii="仿宋" w:hAnsi="仿宋" w:eastAsia="仿宋"/>
          <w:bCs/>
          <w:spacing w:val="8"/>
          <w:sz w:val="28"/>
          <w:szCs w:val="28"/>
        </w:rPr>
        <w:t>EITs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盘活存量资产及案例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sz w:val="28"/>
          <w:szCs w:val="28"/>
        </w:rPr>
        <w:t xml:space="preserve">     1.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哪些存量资产适合用公募R</w:t>
      </w:r>
      <w:r>
        <w:rPr>
          <w:rFonts w:ascii="仿宋" w:hAnsi="仿宋" w:eastAsia="仿宋"/>
          <w:bCs/>
          <w:spacing w:val="8"/>
          <w:sz w:val="28"/>
          <w:szCs w:val="28"/>
        </w:rPr>
        <w:t>EITs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盘活？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sz w:val="28"/>
          <w:szCs w:val="28"/>
        </w:rPr>
        <w:t xml:space="preserve">  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sz w:val="28"/>
          <w:szCs w:val="28"/>
        </w:rPr>
        <w:t xml:space="preserve">  2.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公募R</w:t>
      </w:r>
      <w:r>
        <w:rPr>
          <w:rFonts w:ascii="仿宋" w:hAnsi="仿宋" w:eastAsia="仿宋"/>
          <w:bCs/>
          <w:spacing w:val="8"/>
          <w:sz w:val="28"/>
          <w:szCs w:val="28"/>
        </w:rPr>
        <w:t>EITs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盘活存量资产条件、税收问题；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ascii="仿宋" w:hAnsi="仿宋" w:eastAsia="仿宋"/>
          <w:bCs/>
          <w:spacing w:val="8"/>
          <w:sz w:val="28"/>
          <w:szCs w:val="28"/>
        </w:rPr>
        <w:t>3.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公募R</w:t>
      </w:r>
      <w:r>
        <w:rPr>
          <w:rFonts w:ascii="仿宋" w:hAnsi="仿宋" w:eastAsia="仿宋"/>
          <w:bCs/>
          <w:spacing w:val="8"/>
          <w:sz w:val="28"/>
          <w:szCs w:val="28"/>
        </w:rPr>
        <w:t>EITs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盘活产业园区、保障性租赁住房及高速公路</w:t>
      </w:r>
    </w:p>
    <w:p>
      <w:pPr>
        <w:spacing w:line="480" w:lineRule="exact"/>
        <w:ind w:firstLine="1184" w:firstLineChars="400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sz w:val="28"/>
          <w:szCs w:val="28"/>
        </w:rPr>
        <w:t>案例；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ascii="仿宋" w:hAnsi="仿宋" w:eastAsia="仿宋"/>
          <w:bCs/>
          <w:spacing w:val="8"/>
          <w:sz w:val="28"/>
          <w:szCs w:val="28"/>
        </w:rPr>
        <w:t xml:space="preserve">      4.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私募R</w:t>
      </w:r>
      <w:r>
        <w:rPr>
          <w:rFonts w:ascii="仿宋" w:hAnsi="仿宋" w:eastAsia="仿宋"/>
          <w:bCs/>
          <w:spacing w:val="8"/>
          <w:sz w:val="28"/>
          <w:szCs w:val="28"/>
        </w:rPr>
        <w:t>EITs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适合盘活哪些资产分析？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ascii="仿宋" w:hAnsi="仿宋" w:eastAsia="仿宋"/>
          <w:bCs/>
          <w:spacing w:val="8"/>
          <w:sz w:val="28"/>
          <w:szCs w:val="28"/>
        </w:rPr>
        <w:t xml:space="preserve">      5.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私募R</w:t>
      </w:r>
      <w:r>
        <w:rPr>
          <w:rFonts w:ascii="仿宋" w:hAnsi="仿宋" w:eastAsia="仿宋"/>
          <w:bCs/>
          <w:spacing w:val="8"/>
          <w:sz w:val="28"/>
          <w:szCs w:val="28"/>
        </w:rPr>
        <w:t>EITs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存量资产操作实务及案例分析；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sz w:val="28"/>
          <w:szCs w:val="28"/>
        </w:rPr>
        <w:t xml:space="preserve">     6.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《不动产私募投资基金试点备案指引（试行）》解读；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sz w:val="28"/>
          <w:szCs w:val="28"/>
        </w:rPr>
        <w:t xml:space="preserve">     7.</w:t>
      </w:r>
      <w:r>
        <w:rPr>
          <w:rFonts w:hint="eastAsia" w:ascii="黑体" w:hAnsi="黑体" w:eastAsia="黑体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Pre-REITs产品交易结构及案例分析；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ascii="仿宋" w:hAnsi="仿宋" w:eastAsia="仿宋"/>
          <w:bCs/>
          <w:spacing w:val="8"/>
          <w:sz w:val="28"/>
          <w:szCs w:val="28"/>
        </w:rPr>
        <w:t>8.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产业园区Pre-REITs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及案例；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ascii="仿宋" w:hAnsi="仿宋" w:eastAsia="仿宋" w:cs="宋体"/>
          <w:spacing w:val="8"/>
          <w:kern w:val="36"/>
          <w:sz w:val="28"/>
          <w:szCs w:val="28"/>
        </w:rPr>
        <w:t>9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.REITs的设立与交易流程解析；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0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.REITs对基金管理人的要求；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.REITs的投资人构成分析；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2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.REITs试点项目的主要应用领域；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3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.REITs试点项目需满足的条件；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4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.REITs项目的融资用途；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5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.REITs项目回收资金的使用规定；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6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.REITs试点项目库。</w:t>
      </w:r>
    </w:p>
    <w:p>
      <w:pPr>
        <w:spacing w:line="480" w:lineRule="exact"/>
        <w:ind w:firstLine="592" w:firstLineChars="2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（四）产业园区资产及保障性住房盘活方式及案例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1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.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产业园区闲置厂房盘活方式及案例；</w:t>
      </w:r>
    </w:p>
    <w:p>
      <w:pPr>
        <w:spacing w:line="480" w:lineRule="exact"/>
        <w:ind w:firstLine="592" w:firstLineChars="200"/>
        <w:jc w:val="left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 xml:space="preserve">  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2.</w:t>
      </w: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创意产业园区盘活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工业厂房和仓库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方式及案例；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 xml:space="preserve"> 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 xml:space="preserve"> 3.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产业园区基础资产发行R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EITs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 xml:space="preserve">及典型案例； 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 xml:space="preserve">  4.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地方盘活存量保障性住房渠道及案例；</w:t>
      </w:r>
    </w:p>
    <w:p>
      <w:pPr>
        <w:spacing w:line="480" w:lineRule="exact"/>
        <w:jc w:val="left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 xml:space="preserve">      5.</w:t>
      </w:r>
      <w:r>
        <w:rPr>
          <w:rFonts w:ascii="仿宋" w:hAnsi="仿宋" w:eastAsia="仿宋"/>
          <w:bCs/>
          <w:sz w:val="28"/>
          <w:szCs w:val="28"/>
        </w:rPr>
        <w:t>公共租赁住房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发行A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BS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实务及案例；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 xml:space="preserve"> 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 xml:space="preserve"> 6.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保障性租赁住房相关政策解析及实务。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（五）PPP模式+盘活存量资产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</w:rPr>
        <w:t xml:space="preserve">     </w:t>
      </w:r>
      <w:r>
        <w:rPr>
          <w:rFonts w:ascii="仿宋" w:hAnsi="仿宋" w:eastAsia="仿宋"/>
          <w:bCs/>
          <w:spacing w:val="8"/>
          <w:sz w:val="28"/>
          <w:szCs w:val="28"/>
        </w:rPr>
        <w:t>1.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市政公用事业T</w:t>
      </w:r>
      <w:r>
        <w:rPr>
          <w:rFonts w:ascii="仿宋" w:hAnsi="仿宋" w:eastAsia="仿宋"/>
          <w:bCs/>
          <w:spacing w:val="8"/>
          <w:sz w:val="28"/>
          <w:szCs w:val="28"/>
        </w:rPr>
        <w:t>OT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盘活的操作及案例；</w:t>
      </w:r>
    </w:p>
    <w:p>
      <w:pPr>
        <w:spacing w:line="480" w:lineRule="exact"/>
        <w:jc w:val="left"/>
        <w:rPr>
          <w:rFonts w:ascii="仿宋" w:hAnsi="仿宋" w:eastAsia="仿宋"/>
          <w:bCs/>
          <w:spacing w:val="8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sz w:val="28"/>
          <w:szCs w:val="28"/>
        </w:rPr>
        <w:t xml:space="preserve">     2.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医院、体育设施R</w:t>
      </w:r>
      <w:r>
        <w:rPr>
          <w:rFonts w:ascii="仿宋" w:hAnsi="仿宋" w:eastAsia="仿宋"/>
          <w:bCs/>
          <w:spacing w:val="8"/>
          <w:sz w:val="28"/>
          <w:szCs w:val="28"/>
        </w:rPr>
        <w:t>OT</w:t>
      </w:r>
      <w:r>
        <w:rPr>
          <w:rFonts w:hint="eastAsia" w:ascii="仿宋" w:hAnsi="仿宋" w:eastAsia="仿宋"/>
          <w:bCs/>
          <w:spacing w:val="8"/>
          <w:sz w:val="28"/>
          <w:szCs w:val="28"/>
        </w:rPr>
        <w:t>盘活的操作及案例；</w:t>
      </w:r>
    </w:p>
    <w:p>
      <w:pPr>
        <w:spacing w:line="52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．TOT+</w:t>
      </w:r>
      <w:r>
        <w:rPr>
          <w:rFonts w:ascii="仿宋" w:hAnsi="仿宋" w:eastAsia="仿宋" w:cs="仿宋"/>
          <w:bCs/>
          <w:sz w:val="28"/>
          <w:szCs w:val="28"/>
        </w:rPr>
        <w:t>BOT</w:t>
      </w:r>
      <w:r>
        <w:rPr>
          <w:rFonts w:hint="eastAsia" w:ascii="仿宋" w:hAnsi="仿宋" w:eastAsia="仿宋" w:cs="仿宋"/>
          <w:bCs/>
          <w:sz w:val="28"/>
          <w:szCs w:val="28"/>
        </w:rPr>
        <w:t>模式应用及案例；</w:t>
      </w:r>
    </w:p>
    <w:p>
      <w:pPr>
        <w:spacing w:line="52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4.TOT+ROT</w:t>
      </w:r>
      <w:r>
        <w:rPr>
          <w:rFonts w:hint="eastAsia" w:ascii="仿宋" w:hAnsi="仿宋" w:eastAsia="仿宋" w:cs="仿宋"/>
          <w:bCs/>
          <w:sz w:val="28"/>
          <w:szCs w:val="28"/>
        </w:rPr>
        <w:t>模式应用及案例。</w:t>
      </w:r>
    </w:p>
    <w:p>
      <w:pPr>
        <w:spacing w:line="480" w:lineRule="exact"/>
        <w:ind w:firstLine="592" w:firstLineChars="200"/>
        <w:jc w:val="left"/>
        <w:rPr>
          <w:rFonts w:ascii="仿宋" w:hAnsi="仿宋" w:eastAsia="仿宋" w:cs="宋体"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>（六）盘活存量资产创新融资及案例</w:t>
      </w:r>
    </w:p>
    <w:p>
      <w:pPr>
        <w:spacing w:line="480" w:lineRule="exact"/>
        <w:ind w:firstLine="660"/>
        <w:jc w:val="left"/>
        <w:rPr>
          <w:rFonts w:ascii="仿宋" w:hAnsi="仿宋" w:eastAsia="仿宋"/>
          <w:bCs/>
          <w:spacing w:val="8"/>
          <w:kern w:val="36"/>
          <w:sz w:val="28"/>
          <w:szCs w:val="28"/>
        </w:rPr>
      </w:pPr>
      <w:r>
        <w:rPr>
          <w:rFonts w:hint="eastAsia" w:ascii="仿宋" w:hAnsi="仿宋" w:eastAsia="仿宋" w:cs="宋体"/>
          <w:spacing w:val="8"/>
          <w:kern w:val="36"/>
          <w:sz w:val="28"/>
          <w:szCs w:val="28"/>
        </w:rPr>
        <w:t xml:space="preserve"> </w:t>
      </w:r>
      <w:r>
        <w:rPr>
          <w:rFonts w:ascii="仿宋" w:hAnsi="仿宋" w:eastAsia="仿宋" w:cs="宋体"/>
          <w:spacing w:val="8"/>
          <w:kern w:val="36"/>
          <w:sz w:val="28"/>
          <w:szCs w:val="28"/>
        </w:rPr>
        <w:t>1.</w:t>
      </w: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>建租贷模式及案例；</w:t>
      </w:r>
    </w:p>
    <w:p>
      <w:pPr>
        <w:spacing w:line="480" w:lineRule="exact"/>
        <w:ind w:firstLine="660"/>
        <w:jc w:val="left"/>
        <w:rPr>
          <w:rFonts w:ascii="仿宋" w:hAnsi="仿宋" w:eastAsia="仿宋"/>
          <w:bCs/>
          <w:spacing w:val="8"/>
          <w:kern w:val="36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 xml:space="preserve"> </w:t>
      </w:r>
      <w:r>
        <w:rPr>
          <w:rFonts w:ascii="仿宋" w:hAnsi="仿宋" w:eastAsia="仿宋"/>
          <w:bCs/>
          <w:spacing w:val="8"/>
          <w:kern w:val="36"/>
          <w:sz w:val="28"/>
          <w:szCs w:val="28"/>
        </w:rPr>
        <w:t>2.</w:t>
      </w: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>国企购置资产贷款及案例；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bCs/>
          <w:spacing w:val="8"/>
          <w:kern w:val="36"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>3</w:t>
      </w:r>
      <w:r>
        <w:rPr>
          <w:rFonts w:ascii="仿宋" w:hAnsi="仿宋" w:eastAsia="仿宋"/>
          <w:bCs/>
          <w:spacing w:val="8"/>
          <w:kern w:val="36"/>
          <w:sz w:val="28"/>
          <w:szCs w:val="28"/>
        </w:rPr>
        <w:t>.</w:t>
      </w: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>PPP项目+公募REITs融资及原始投资退出案例；</w:t>
      </w:r>
    </w:p>
    <w:p>
      <w:pPr>
        <w:spacing w:line="480" w:lineRule="exact"/>
        <w:ind w:firstLine="888" w:firstLineChars="300"/>
        <w:jc w:val="left"/>
        <w:rPr>
          <w:rFonts w:ascii="仿宋" w:hAnsi="仿宋" w:eastAsia="仿宋"/>
          <w:bCs/>
          <w:spacing w:val="8"/>
          <w:kern w:val="36"/>
          <w:sz w:val="28"/>
          <w:szCs w:val="28"/>
        </w:rPr>
      </w:pPr>
      <w:r>
        <w:rPr>
          <w:rFonts w:ascii="仿宋" w:hAnsi="仿宋" w:eastAsia="仿宋"/>
          <w:bCs/>
          <w:spacing w:val="8"/>
          <w:kern w:val="36"/>
          <w:sz w:val="28"/>
          <w:szCs w:val="28"/>
        </w:rPr>
        <w:t>4.</w:t>
      </w: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>PPP+标准化ABCP产品融资及案例。</w:t>
      </w:r>
    </w:p>
    <w:p>
      <w:pPr>
        <w:spacing w:line="520" w:lineRule="exact"/>
        <w:ind w:firstLine="592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/>
          <w:bCs/>
          <w:spacing w:val="8"/>
          <w:kern w:val="36"/>
          <w:sz w:val="28"/>
          <w:szCs w:val="28"/>
        </w:rPr>
        <w:t>（七）</w:t>
      </w:r>
      <w:r>
        <w:rPr>
          <w:rFonts w:hint="eastAsia" w:ascii="仿宋" w:hAnsi="仿宋" w:eastAsia="仿宋" w:cs="仿宋"/>
          <w:bCs/>
          <w:sz w:val="28"/>
          <w:szCs w:val="28"/>
        </w:rPr>
        <w:t>地方专项债券应用及申报与管理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1.2023年政府专项债投资领域的新变化；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2.2023年哪些政府专项债应当重点关注；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3.新一轮政府专项债在包装申报时的要点分析；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4.面对当前的复杂性项目，如何促进专项债的资金平衡；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5.政府专项债项目用作资本金的新变化；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6.当政府专项债资金不足时，如何促进与其他投融资模式的</w:t>
      </w:r>
    </w:p>
    <w:p>
      <w:pPr>
        <w:spacing w:line="480" w:lineRule="exact"/>
        <w:ind w:firstLine="1120" w:firstLineChars="4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结合；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7.专业运营商已经在专项债申报中凸显出其核心地位；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8.非本地国有企业如何承接专项债项目；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9.如何处理政府专项债资金无法实际使用的困境；</w:t>
      </w:r>
    </w:p>
    <w:p>
      <w:pPr>
        <w:spacing w:line="480" w:lineRule="exact"/>
        <w:ind w:firstLine="840" w:firstLineChars="3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10.如何发挥专项债在基建项目中的“四两拨千斤”的作用。</w:t>
      </w:r>
    </w:p>
    <w:p>
      <w:p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三、培训对象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各级发改、财政、环保、住建、交通、水利、农业</w:t>
      </w:r>
      <w:r>
        <w:rPr>
          <w:rFonts w:hint="eastAsia" w:ascii="仿宋" w:hAnsi="仿宋" w:eastAsia="仿宋" w:cs="仿宋"/>
          <w:bCs/>
          <w:sz w:val="28"/>
          <w:szCs w:val="28"/>
        </w:rPr>
        <w:t>农村</w:t>
      </w:r>
      <w:r>
        <w:rPr>
          <w:rFonts w:ascii="仿宋" w:hAnsi="仿宋" w:eastAsia="仿宋" w:cs="仿宋"/>
          <w:bCs/>
          <w:sz w:val="28"/>
          <w:szCs w:val="28"/>
        </w:rPr>
        <w:t>、林草、文旅等政府部门工作人员；城投公司</w:t>
      </w:r>
      <w:r>
        <w:rPr>
          <w:rFonts w:hint="eastAsia" w:ascii="仿宋" w:hAnsi="仿宋" w:eastAsia="仿宋" w:cs="仿宋"/>
          <w:bCs/>
          <w:sz w:val="28"/>
          <w:szCs w:val="28"/>
        </w:rPr>
        <w:t>为代表的各</w:t>
      </w:r>
      <w:r>
        <w:rPr>
          <w:rFonts w:ascii="仿宋" w:hAnsi="仿宋" w:eastAsia="仿宋" w:cs="仿宋"/>
          <w:bCs/>
          <w:sz w:val="28"/>
          <w:szCs w:val="28"/>
        </w:rPr>
        <w:t>类平台公司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ascii="仿宋" w:hAnsi="仿宋" w:eastAsia="仿宋" w:cs="仿宋"/>
          <w:bCs/>
          <w:sz w:val="28"/>
          <w:szCs w:val="28"/>
        </w:rPr>
        <w:t>污水垃圾处理、供水供气供热、仓储物流、新能源、环保及建筑施工等企业管理人员；银行、证券、基金、信托、保险等金融机构专业人员。</w:t>
      </w:r>
    </w:p>
    <w:p>
      <w:p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授课师资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邀请发改、财政、金融及法律等领域专家，采用专题讲座、现场答疑、互动交流等形式进行授课。</w:t>
      </w:r>
    </w:p>
    <w:p>
      <w:pPr>
        <w:numPr>
          <w:ilvl w:val="0"/>
          <w:numId w:val="2"/>
        </w:num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培训时间与地点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2023年06月16日—06月19日    合肥市 （16日全天报到）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2023年06月29日—07月02日    青岛市（29日全天报到）2023年07月13日—07月16日    呼和浩特 （13日全天报到）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2023年07月26日—07月29日    贵阳市（26日全天报到）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 xml:space="preserve">2023年08月10日—08月13日    </w:t>
      </w:r>
      <w:r>
        <w:rPr>
          <w:rFonts w:hint="eastAsia" w:hAnsi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长春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市（10日全天报到）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 xml:space="preserve">2023年08月25日—08月28日    </w:t>
      </w:r>
      <w:r>
        <w:rPr>
          <w:rFonts w:hint="eastAsia" w:hAnsi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银川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市（25日全天报到）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 xml:space="preserve">2023年09月14日—09月17日    </w:t>
      </w:r>
      <w:r>
        <w:rPr>
          <w:rFonts w:hint="eastAsia" w:hAnsi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昆明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市（14日全天报到）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2023年09月22日—09月25日    成都市（22日全天报到）</w:t>
      </w:r>
    </w:p>
    <w:p>
      <w:pPr>
        <w:spacing w:line="4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六、收费标准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spacing w:line="460" w:lineRule="exact"/>
        <w:ind w:firstLine="560" w:firstLineChars="200"/>
        <w:rPr>
          <w:rFonts w:ascii="仿宋" w:hAnsi="仿宋" w:eastAsia="仿宋"/>
          <w:spacing w:val="8"/>
          <w:sz w:val="30"/>
          <w:szCs w:val="30"/>
        </w:rPr>
      </w:pPr>
      <w:r>
        <w:rPr>
          <w:rFonts w:ascii="仿宋" w:hAnsi="仿宋" w:eastAsia="仿宋" w:cs="仿宋"/>
          <w:bCs/>
          <w:sz w:val="28"/>
          <w:szCs w:val="28"/>
        </w:rPr>
        <w:t>B.5600元/人（含培训、资料、电子课件、场地、证书及培训期间午餐），住宿统一安排，费用自理。培训结束后，经考核合格，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sz w:val="28"/>
          <w:szCs w:val="28"/>
        </w:rPr>
        <w:t>由中国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投资协会</w:t>
      </w:r>
      <w:r>
        <w:rPr>
          <w:rFonts w:hint="eastAsia" w:ascii="仿宋" w:hAnsi="仿宋" w:eastAsia="仿宋" w:cs="仿宋"/>
          <w:bCs/>
          <w:sz w:val="28"/>
          <w:szCs w:val="28"/>
        </w:rPr>
        <w:t>颁发《投融资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规划</w:t>
      </w:r>
      <w:r>
        <w:rPr>
          <w:rFonts w:hint="eastAsia" w:ascii="仿宋" w:hAnsi="仿宋" w:eastAsia="仿宋" w:cs="仿宋"/>
          <w:bCs/>
          <w:sz w:val="28"/>
          <w:szCs w:val="28"/>
        </w:rPr>
        <w:t>师》证书，需提供申报表、二寸蓝底免冠彩色照片、身份证复印件、学历证书复印件等电子版材料。</w:t>
      </w:r>
    </w:p>
    <w:p>
      <w:pPr>
        <w:spacing w:line="46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七、课程权益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（一）本培训班常年举办，本人一年内免费复训一次，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复训</w:t>
      </w: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只交资料费300元即可</w:t>
      </w:r>
      <w:r>
        <w:rPr>
          <w:rFonts w:ascii="仿宋" w:hAnsi="仿宋" w:eastAsia="仿宋" w:cs="仿宋"/>
          <w:bCs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（二）赠送中建科信集团</w:t>
      </w:r>
      <w:r>
        <w:rPr>
          <w:rFonts w:hint="eastAsia" w:ascii="仿宋" w:hAnsi="仿宋" w:eastAsia="仿宋" w:cs="仿宋"/>
          <w:bCs/>
          <w:sz w:val="28"/>
          <w:szCs w:val="28"/>
        </w:rPr>
        <w:t>整理的最新政策类资料</w:t>
      </w:r>
      <w:r>
        <w:rPr>
          <w:rFonts w:ascii="仿宋" w:hAnsi="仿宋" w:eastAsia="仿宋" w:cs="仿宋"/>
          <w:bCs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 xml:space="preserve">（三）免费定期推送各类行业政策新闻及专家解读等相关资讯； 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（四）</w:t>
      </w:r>
      <w:r>
        <w:rPr>
          <w:rFonts w:hint="eastAsia" w:ascii="仿宋" w:hAnsi="仿宋" w:eastAsia="仿宋" w:cs="仿宋"/>
          <w:bCs/>
          <w:sz w:val="28"/>
          <w:szCs w:val="28"/>
        </w:rPr>
        <w:t>平台公司市场化转型、项目包装设计、专项债券申报等</w:t>
      </w:r>
      <w:r>
        <w:rPr>
          <w:rFonts w:ascii="仿宋" w:hAnsi="仿宋" w:eastAsia="仿宋" w:cs="仿宋"/>
          <w:bCs/>
          <w:sz w:val="28"/>
          <w:szCs w:val="28"/>
        </w:rPr>
        <w:t xml:space="preserve">咨询服务9折优惠。 </w:t>
      </w:r>
    </w:p>
    <w:p>
      <w:pPr>
        <w:spacing w:line="52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八、联系方式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报名负责人：聂红军 主任18211071700（微信）   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电  话：13141289128        邮    箱：zqgphwz@126.com  </w:t>
      </w: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qq咨询：3177524020        网    址：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HYPERLINK "http://www.zqgpchina.cn"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Style w:val="13"/>
          <w:rFonts w:hint="eastAsia" w:ascii="仿宋" w:hAnsi="仿宋" w:eastAsia="仿宋" w:cs="仿宋"/>
          <w:bCs/>
          <w:sz w:val="28"/>
          <w:szCs w:val="28"/>
        </w:rPr>
        <w:t>http://www.zqgpchina.cn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附件</w:t>
      </w: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：</w:t>
      </w:r>
    </w:p>
    <w:p>
      <w:pPr>
        <w:spacing w:line="480" w:lineRule="exact"/>
        <w:ind w:right="-147" w:rightChars="-70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高质量发展下，分类盘活存量资产</w:t>
      </w:r>
    </w:p>
    <w:p>
      <w:pPr>
        <w:spacing w:line="480" w:lineRule="exact"/>
        <w:ind w:right="-147" w:rightChars="-70"/>
        <w:jc w:val="center"/>
        <w:rPr>
          <w:rFonts w:cs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基础设施</w:t>
      </w:r>
      <w:r>
        <w:rPr>
          <w:rFonts w:ascii="仿宋" w:hAnsi="仿宋" w:eastAsia="仿宋" w:cs="仿宋"/>
          <w:b/>
          <w:sz w:val="36"/>
          <w:szCs w:val="36"/>
        </w:rPr>
        <w:t>REITs项目申报、创新融资及政府专项债券项目操作实务高级研修班</w:t>
      </w:r>
      <w:r>
        <w:rPr>
          <w:rFonts w:hint="eastAsia" w:ascii="仿宋" w:hAnsi="仿宋" w:eastAsia="仿宋" w:cs="仿宋"/>
          <w:b/>
          <w:sz w:val="36"/>
          <w:szCs w:val="36"/>
        </w:rPr>
        <w:t>报名回执表</w:t>
      </w:r>
    </w:p>
    <w:tbl>
      <w:tblPr>
        <w:tblStyle w:val="10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投融资规划师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开户名称：北京中建科信管理咨询集团有限公司</w:t>
            </w:r>
          </w:p>
          <w:p>
            <w:pPr>
              <w:spacing w:line="360" w:lineRule="exact"/>
              <w:ind w:right="-147" w:rightChars="-70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开 户 行：中国工商银行北京半壁店支行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账    号：0200247009200068235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2"/>
              <w:ind w:left="480" w:firstLine="480"/>
              <w:rPr>
                <w:rFonts w:hint="default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440" w:lineRule="exact"/>
        <w:ind w:right="-147" w:rightChars="-70"/>
        <w:rPr>
          <w:rStyle w:val="12"/>
          <w:rFonts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</w:p>
    <w:p>
      <w:pPr>
        <w:spacing w:line="440" w:lineRule="exact"/>
        <w:rPr>
          <w:rStyle w:val="12"/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Style w:val="12"/>
          <w:rFonts w:hint="eastAsia" w:ascii="仿宋" w:hAnsi="仿宋" w:eastAsia="仿宋" w:cs="仿宋"/>
          <w:color w:val="000000"/>
          <w:sz w:val="28"/>
          <w:szCs w:val="28"/>
          <w:lang w:val="zh-CN"/>
        </w:rPr>
        <w:t xml:space="preserve">报名负责人：聂红军 主任18211071700（微信）   </w:t>
      </w:r>
    </w:p>
    <w:p>
      <w:pPr>
        <w:spacing w:line="440" w:lineRule="exact"/>
        <w:rPr>
          <w:rStyle w:val="12"/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Style w:val="12"/>
          <w:rFonts w:hint="eastAsia" w:ascii="仿宋" w:hAnsi="仿宋" w:eastAsia="仿宋" w:cs="仿宋"/>
          <w:color w:val="000000"/>
          <w:sz w:val="28"/>
          <w:szCs w:val="28"/>
          <w:lang w:val="zh-CN"/>
        </w:rPr>
        <w:t xml:space="preserve">电  话：13141289128        邮    箱：zqgphwz@126.com  </w:t>
      </w:r>
    </w:p>
    <w:p>
      <w:pPr>
        <w:spacing w:line="440" w:lineRule="exact"/>
        <w:rPr>
          <w:rStyle w:val="12"/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Style w:val="12"/>
          <w:rFonts w:hint="eastAsia" w:ascii="仿宋" w:hAnsi="仿宋" w:eastAsia="仿宋" w:cs="仿宋"/>
          <w:color w:val="000000"/>
          <w:sz w:val="28"/>
          <w:szCs w:val="28"/>
          <w:lang w:val="zh-CN"/>
        </w:rPr>
        <w:t>qq咨询：3177524020        网    址：http://www.zqgpchina.cn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3D2B2"/>
    <w:multiLevelType w:val="singleLevel"/>
    <w:tmpl w:val="86F3D2B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C228E"/>
    <w:multiLevelType w:val="multilevel"/>
    <w:tmpl w:val="732C228E"/>
    <w:lvl w:ilvl="0" w:tentative="0">
      <w:start w:val="6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NDM4Y2FiYTQ0ZDExNjg0MjEzZDViYjkxMTI4NDIifQ=="/>
  </w:docVars>
  <w:rsids>
    <w:rsidRoot w:val="00DE5A85"/>
    <w:rsid w:val="00002F92"/>
    <w:rsid w:val="00070B83"/>
    <w:rsid w:val="00085AD5"/>
    <w:rsid w:val="00085F92"/>
    <w:rsid w:val="000E6BE6"/>
    <w:rsid w:val="00133856"/>
    <w:rsid w:val="00137DA6"/>
    <w:rsid w:val="002F25D5"/>
    <w:rsid w:val="004B4E2F"/>
    <w:rsid w:val="00517D1B"/>
    <w:rsid w:val="00604553"/>
    <w:rsid w:val="00781B57"/>
    <w:rsid w:val="00784B9C"/>
    <w:rsid w:val="007B5E2C"/>
    <w:rsid w:val="00912442"/>
    <w:rsid w:val="00974668"/>
    <w:rsid w:val="009A48E6"/>
    <w:rsid w:val="00A26B58"/>
    <w:rsid w:val="00A65807"/>
    <w:rsid w:val="00AB39A2"/>
    <w:rsid w:val="00AC1294"/>
    <w:rsid w:val="00B05DFF"/>
    <w:rsid w:val="00B837AE"/>
    <w:rsid w:val="00BA05B1"/>
    <w:rsid w:val="00BD02B5"/>
    <w:rsid w:val="00BD0C7D"/>
    <w:rsid w:val="00D00B95"/>
    <w:rsid w:val="00D11ACD"/>
    <w:rsid w:val="00D31C67"/>
    <w:rsid w:val="00D66F46"/>
    <w:rsid w:val="00D8212B"/>
    <w:rsid w:val="00DC590A"/>
    <w:rsid w:val="00DE5A85"/>
    <w:rsid w:val="00E60177"/>
    <w:rsid w:val="00EA194D"/>
    <w:rsid w:val="00F129AE"/>
    <w:rsid w:val="00F4582D"/>
    <w:rsid w:val="00FC0DCA"/>
    <w:rsid w:val="028B3D0D"/>
    <w:rsid w:val="155E489E"/>
    <w:rsid w:val="43CE018F"/>
    <w:rsid w:val="44976073"/>
    <w:rsid w:val="4DBE4E19"/>
    <w:rsid w:val="583977B3"/>
    <w:rsid w:val="63BB0152"/>
    <w:rsid w:val="6487270C"/>
    <w:rsid w:val="7B131D21"/>
    <w:rsid w:val="7DD76EF5"/>
    <w:rsid w:val="7E2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5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paragraph" w:styleId="3">
    <w:name w:val="Body Text Indent"/>
    <w:basedOn w:val="1"/>
    <w:next w:val="4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8">
    <w:name w:val="footer"/>
    <w:basedOn w:val="1"/>
    <w:next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1"/>
    <w:link w:val="3"/>
    <w:semiHidden/>
    <w:uiPriority w:val="99"/>
  </w:style>
  <w:style w:type="character" w:customStyle="1" w:styleId="15">
    <w:name w:val="正文文本首行缩进 2 字符"/>
    <w:basedOn w:val="14"/>
    <w:link w:val="2"/>
    <w:qFormat/>
    <w:uiPriority w:val="99"/>
    <w:rPr>
      <w:rFonts w:ascii="仿宋" w:hAnsi="Times New Roman" w:eastAsia="仿宋" w:cs="Times New Roman"/>
      <w:sz w:val="24"/>
      <w:szCs w:val="24"/>
    </w:rPr>
  </w:style>
  <w:style w:type="character" w:customStyle="1" w:styleId="16">
    <w:name w:val="页眉 字符"/>
    <w:basedOn w:val="11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1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basedOn w:val="11"/>
    <w:link w:val="6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正文文本 字符"/>
    <w:basedOn w:val="11"/>
    <w:link w:val="7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2244</Words>
  <Characters>2693</Characters>
  <Lines>26</Lines>
  <Paragraphs>7</Paragraphs>
  <TotalTime>15</TotalTime>
  <ScaleCrop>false</ScaleCrop>
  <LinksUpToDate>false</LinksUpToDate>
  <CharactersWithSpaces>2921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2023-04-25T07:04:00Z</dcterms:created>
  <dc:creator>Lenovo</dc:creator>
  <cp:lastModifiedBy>Administrator</cp:lastModifiedBy>
  <cp:lastPrinted>2023-05-05T02:51:00Z</cp:lastPrinted>
  <dcterms:modified xsi:type="dcterms:W3CDTF">2023-05-07T05:28:16Z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40D05EFD0633482BAAD4FAFA7205FAC9_13</vt:lpwstr>
  </property>
</Properties>
</file>