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>
      <w:pPr>
        <w:adjustRightInd w:val="0"/>
        <w:snapToGrid w:val="0"/>
        <w:spacing w:line="300" w:lineRule="exact"/>
        <w:jc w:val="center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exact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77470</wp:posOffset>
                </wp:positionV>
                <wp:extent cx="5387975" cy="635"/>
                <wp:effectExtent l="0" t="13970" r="3175" b="2349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575" y="2267585"/>
                          <a:ext cx="53879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6.75pt;margin-top:6.1pt;height:0.05pt;width:424.25pt;z-index:251668480;mso-width-relative:page;mso-height-relative:page;" filled="f" stroked="t" coordsize="21600,21600" o:gfxdata="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kgFA7UAAAA&#10;CAEAAA8AAAAAAAAAAQAgAAAAIgAAAGRycy9kb3ducmV2LnhtbFBLAQIUABQAAAAIAIdO4kBnLzFo&#10;6AEAAKYDAAAOAAAAAAAAAAEAIAAAACM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exact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 w:themeColor="text1"/>
          <w:w w:val="95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95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关于举办《建设项目工程总承包计价规范》解读、EPC项目招投标、索赔、</w:t>
      </w:r>
      <w:r>
        <w:rPr>
          <w:rFonts w:hint="eastAsia" w:ascii="仿宋" w:hAnsi="仿宋" w:eastAsia="仿宋" w:cs="仿宋"/>
          <w:b/>
          <w:bCs/>
          <w:color w:val="000000" w:themeColor="text1"/>
          <w:w w:val="95"/>
          <w:kern w:val="0"/>
          <w:sz w:val="32"/>
          <w:szCs w:val="32"/>
          <w:shd w:val="clear" w:color="000000" w:fill="auto"/>
          <w14:textFill>
            <w14:solidFill>
              <w14:schemeClr w14:val="tx1"/>
            </w14:solidFill>
          </w14:textFill>
        </w:rPr>
        <w:t>计价结算管理与全过程工程咨询实务高级培训班的通知</w:t>
      </w:r>
    </w:p>
    <w:p>
      <w:pPr>
        <w:ind w:firstLine="5142" w:firstLineChars="2000"/>
        <w:rPr>
          <w:rFonts w:hint="eastAsia"/>
          <w:b/>
          <w:bCs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宋体" w:hAnsi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047 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各有关单位：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住建部出台一系列推进工程总承包模式的指导意见，并要求政府投资工程项目带头推行工程总承包，有力地推进了建筑业现代化进程。但由于现行法律法规，工程计价规则还是建立在施工图发承包基础上，导致用施工总承包思维推行工程总承包，没有达到预期效果。因此，亟需建立适应工程总承包的计价计量规则，在这一背景下，《建设项目工程总承包计价规范》T/CCEAS001-2022应势而生，自2023年3月1日起实施。本规范将与《建设工程工程量清单计价规范》一起，为发承包双方不同发承包模式下的工程造价计价提供了政策依据。本规范顺应行业发展，填补了我国工程总承包计价缺少标准的空白，不但从宏观上指导了政府造价管理行为，更重要的是从微观上规范了发、承包双方在市场化条件下的造价计价行为。本规范将以高标准引领国内建设工程总承包业务的高质量发展，有力促进建筑业的创新、提升与进步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为帮助各单位深入了解新政对EPC项目招投标提出了哪些新要求？对风险分担进行哪些细化规定？对总包方、分包方有哪些影响？EPC项目如何计价，合同价格如何约定？如何约定总价包干？工期进度和风险分担如何调整合同价款？变更调整价款有哪些风险？结算索赔计量计价需要注意哪些问题？招投标、合同签订履约、分包、计量计价、变更索赔与结算等过程如何合理有效地管控造价？如何应对官方审计和财政评审，变被动为主动，确保较好的经济效益，我会决定举办“《建设项目工程总承包计价规范》解读、EPC项目招投标、索赔、计价结算管理与全过程工程咨询实务高级培训班。本次培训班由中国国际工程咨询协会主办，北京中科领航教育咨询有限公司承办，请各单位积极派员参加，有关事项详见附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一、课程收益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深入了解和学习新政对EPC项目招投标提出的新要求？对风险分担进行的细化规定？对总包方、分包方的影响？EPC项目如何计价，合同价格如何约定？结算索赔计量计价需要注意哪些问题？招投标、合同签订履约、分包、计量计价、变更索赔与结算等过程如何合理有效地管控造价？如何应对官方审计和财政评审，变被动为主动，确保较好的经济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培训内容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（详见附件）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1.《建设项目工程总承包计价规范》解读；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2.EPC工程总承包项目招投标策划与风险防范；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3.进度成本与分包风险管控与利润常见问题分析；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4.EPC项目投资管控；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5.工程计价与结算管理、总承包(EPC)计价典型案例分析及工程审计实务；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6.全过程工程咨询控制要点与操作实务。</w:t>
      </w: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地政府建设项目主管部门、各业主单位从事项目管理、合同管理、工程项目建设、开发等相关部门人员、各地政府建设工程交易中心、投资项目评审中心、政府投资审计中心；各建筑施工企业负责人、设计院（所）分管生产经营、项目建设、市场开发、审计法务等相关部门负责人；中、高等院校、医院及科研机构从事相关工作的人员，各勘察设计、招标代理、造价咨询、市场监管等相关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、拟邀专家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拟邀请国家发改委、住建部、清华大学、中国对外工程承包商会、大型央企高层领导及具有项目管理丰富经验的实战专家现场授课，结合经典实例分析，并进行现场答疑和互动交流。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时间地点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2023年06月15日—06月18日    青岛市    （15日全天报到）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2023年06月29日—07月02日    呼和浩特市（29日全天报到）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2023年07月13日—07月16日    贵阳市    （13日全天报到）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2023年07月26日—07月29日    长春市    （26日全天报到）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2023年08月10日—08月13日    昆明市  （10日全天报到）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2023年08月25日—08月28日    银川市  （25日全天报到）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2023年09月14日—09月17日    成都市  （14日全天报到）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2023年09月22日—09月25日    珠海市  （22日全天报到）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课程权益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1.本培训班常年举办，本人全年免费复训一次，只交资料费300元即可；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 xml:space="preserve">2.推送各类行业政策新闻及专家解读相关资讯信息； </w:t>
      </w:r>
    </w:p>
    <w:p>
      <w:pPr>
        <w:pStyle w:val="2"/>
        <w:keepNext w:val="0"/>
        <w:keepLines w:val="0"/>
        <w:pageBreakBefore w:val="0"/>
        <w:tabs>
          <w:tab w:val="left" w:pos="-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/>
        <w:textAlignment w:val="auto"/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 xml:space="preserve">3.享有最新优质项目推送权益；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培训结束后，经考核合格，由我会颁发《工程总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承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</w:rPr>
        <w:t>包项目经理》、《合同经理》或《设计经理》证书，</w:t>
      </w:r>
      <w:r>
        <w:rPr>
          <w:rFonts w:hint="eastAsia" w:ascii="仿宋" w:hAnsi="仿宋" w:eastAsia="仿宋" w:cs="仿宋"/>
          <w:snapToGrid w:val="0"/>
          <w:color w:val="000000"/>
          <w:kern w:val="20"/>
          <w:position w:val="-4"/>
          <w:sz w:val="28"/>
          <w:szCs w:val="28"/>
          <w:lang w:val="en-US" w:eastAsia="zh-CN" w:bidi="ar-SA"/>
        </w:rPr>
        <w:t>需提供申报表、二寸蓝底免冠彩色照片、身份证复印件、学历证书复印件等电子版材料</w:t>
      </w:r>
      <w:r>
        <w:rPr>
          <w:rFonts w:ascii="仿宋" w:hAnsi="仿宋" w:eastAsia="仿宋" w:cs="仿宋"/>
          <w:bCs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20"/>
          <w:position w:val="-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 xml:space="preserve">电  话：13141289128    邮    箱：zqgphwz@126.com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shd w:val="clear" w:color="auto" w:fill="auto"/>
          <w:lang w:val="en-US" w:eastAsia="zh-CN" w:bidi="ar-SA"/>
        </w:rPr>
        <w:t>qq咨询：3177524020      网    址：http://www.zqgpchina.cn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pacing w:val="10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8162290</wp:posOffset>
            </wp:positionV>
            <wp:extent cx="1451610" cy="1443355"/>
            <wp:effectExtent l="0" t="0" r="1270" b="1270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34290</wp:posOffset>
            </wp:positionV>
            <wp:extent cx="1452245" cy="1442720"/>
            <wp:effectExtent l="0" t="0" r="635" b="1905"/>
            <wp:wrapNone/>
            <wp:docPr id="10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8577580</wp:posOffset>
            </wp:positionV>
            <wp:extent cx="1451610" cy="1443355"/>
            <wp:effectExtent l="0" t="0" r="1270" b="1270"/>
            <wp:wrapNone/>
            <wp:docPr id="7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</w:t>
      </w: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8467090</wp:posOffset>
            </wp:positionV>
            <wp:extent cx="1451610" cy="1443355"/>
            <wp:effectExtent l="0" t="0" r="1270" b="1270"/>
            <wp:wrapNone/>
            <wp:docPr id="6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国国际</w:t>
      </w: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8314690</wp:posOffset>
            </wp:positionV>
            <wp:extent cx="1451610" cy="1443355"/>
            <wp:effectExtent l="0" t="0" r="1270" b="1270"/>
            <wp:wrapNone/>
            <wp:docPr id="4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工</w:t>
      </w: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8162290</wp:posOffset>
            </wp:positionV>
            <wp:extent cx="1451610" cy="1443355"/>
            <wp:effectExtent l="0" t="0" r="1270" b="1270"/>
            <wp:wrapNone/>
            <wp:docPr id="3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程咨询协会</w:t>
      </w:r>
    </w:p>
    <w:p>
      <w:pPr>
        <w:pStyle w:val="2"/>
        <w:ind w:left="0" w:leftChars="0" w:firstLine="5600" w:firstLineChars="20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二0二三年</w:t>
      </w:r>
      <w:r>
        <w:rPr>
          <w:rFonts w:hint="default" w:ascii="仿宋" w:hAnsi="仿宋" w:eastAsia="仿宋" w:cs="宋体"/>
          <w:color w:val="000000"/>
          <w:kern w:val="20"/>
          <w:position w:val="-4"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8162290</wp:posOffset>
            </wp:positionV>
            <wp:extent cx="1451610" cy="1443355"/>
            <wp:effectExtent l="0" t="0" r="1270" b="1270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6">
                      <a:lum bright="2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color w:val="000000"/>
          <w:kern w:val="20"/>
          <w:position w:val="-4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月六日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附件一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第一部分：《建设项目工程总承包计价规范》解读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1.工程总承包的模式条件、计价方式和计价风险；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2.工程总承包费用项目组成和项目清单；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3.工程价款与工期约定：标底或最高投标限价与工期、投标报价与工期、报价与工期的评定、价款与工期的约定；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default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4.同价款与工期调整：法律变化、工程变更</w:t>
      </w:r>
      <w:r>
        <w:rPr>
          <w:rFonts w:hint="default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、市场价格变化、不可抗力</w:t>
      </w:r>
      <w:r>
        <w:rPr>
          <w:rFonts w:hint="default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、工期提前、延误、工程签证、索赔；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5.工程结算与支付：预付款、期中结算与支付、工期确定的结算与支付、竣工结算与支付、质量保证金、最终结清；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6.合同解除的结算与支付：协议解除合同后的结算与支付、违约解除合同后的结算与支付、因不可抗力解除合同后的结算与支付；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7.合同价款与工期争议的解决：暂定、协商和解</w:t>
      </w:r>
      <w:r>
        <w:rPr>
          <w:rFonts w:hint="default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、调解、仲裁、诉讼。</w:t>
      </w:r>
    </w:p>
    <w:p>
      <w:pP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第二部分：EPC工程总承包项目招投标策划与风险防范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1.EPC总承包、分包相关招投标政策解读；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2.EPC项目对甲乙双方固有风险及管理；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3.项目核心要求招标指标与系统招标要求的策划；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4.项目前期咨询与招标文件策划；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5.EPC总承包与施工总承包项目招标文件的异同；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6.EPC总承包与施工总承包项目不同合同模式的优缺点；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7.EPC总承包与施工总承包评标的要点及建议；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8.投标方案的确定与文件的编制注意事项；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9.合同包干模式招标策划；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10.招标项目采用EPC总承包可否直接发包。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第三部分：进度成本与分包风险管控与利润常见问题分析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1.利润最大化之三个阶段、三类合同、八次估算、两次限额；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2.分包采购方式与工作流程（项目部OR公司采购中的纠葛）；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3.分包合同中的法规红线；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4.施工分包合同无效的认定及典型案例分析；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5.施工合同无效如何结算及典型案例分析；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6.施工合同责任如何承担及具体实务建议；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7.合适的保护实际施工人的问题及具体实务建议；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8.工程变更及意外事件带来的风险及其防范；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9.工程签证流程、签证内容及签证的技巧；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10.工程索赔程序的具体操作以及索赔技巧；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11.工程转包、分包的法律风险及防范措施；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20"/>
          <w:position w:val="-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12.收尾总结。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第四部分：</w:t>
      </w:r>
      <w:r>
        <w:rPr>
          <w:rFonts w:hint="eastAsia" w:ascii="仿宋" w:hAnsi="仿宋" w:eastAsia="仿宋" w:cs="仿宋"/>
          <w:b/>
          <w:bCs/>
          <w:spacing w:val="-7"/>
          <w:sz w:val="28"/>
          <w:szCs w:val="28"/>
        </w:rPr>
        <w:t>EPC 项目投资管控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24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“发包人要求”配合总价合同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5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模拟工程量清单配合单价合同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56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总价合同采用里程碑支付、单价按里程碑从量支付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4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EPC 两段式设计：标前设计可变更，标后设计无变更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5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任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何业主的改变均需向总承包商支付对价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44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坚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持标前下达设计限额， 鼓励标前设计优化， 限制标后设计优化， 未经批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准的标后优化</w:t>
      </w:r>
      <w:r>
        <w:rPr>
          <w:rFonts w:hint="eastAsia" w:ascii="仿宋" w:hAnsi="仿宋" w:eastAsia="仿宋" w:cs="仿宋"/>
          <w:sz w:val="28"/>
          <w:szCs w:val="28"/>
        </w:rPr>
        <w:t>均为违约行为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56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总价无审核但应交付合格功能后支付，单价</w:t>
      </w:r>
      <w:r>
        <w:rPr>
          <w:rFonts w:hint="eastAsia" w:ascii="仿宋" w:hAnsi="仿宋" w:eastAsia="仿宋" w:cs="仿宋"/>
          <w:sz w:val="28"/>
          <w:szCs w:val="28"/>
        </w:rPr>
        <w:t>按周期从量支付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4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EPC 模式价格清单投标人应在编制价格清单时确保准确完整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left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第五部分：工程计价与结算管理、总承包(EPC)计价典型案例分析及工程审计实务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1.工程计价内容的招标设计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2.工程费用性质分析：按实核定与包干固定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.措施项目清单缺漏项与包干计价分析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.过程结算与过程支付的辨析与案例；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.工程量增减与不平衡单价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.材料单价不合理情形下变更置换计价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.工程措施方案变更与优化的计价处理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.材料设备认价性质界定与案例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.暂估价项目及总承包服务费计价案例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.总承包(EPC)计价构成分析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.总承包(EPC)计价范围与计价机制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.总承包(EPC)计价风险与价格调整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.总承包(EPC)变更计价分析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.营改增下工程计价与计税典型案例分析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79" w:leftChars="133" w:right="0" w:rightChars="0" w:firstLine="260" w:firstLineChars="100"/>
        <w:jc w:val="left"/>
        <w:textAlignment w:val="auto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.工程结算审计实务及案例分析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highlight w:val="none"/>
          <w:lang w:val="en-US" w:eastAsia="zh-CN"/>
        </w:rPr>
        <w:t xml:space="preserve">第六部分：全过程工程咨询控制要点与操作实务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一、全过程工程咨询公司开展对于设计施工总承包管理服务实操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1.当前市场上并行推行全过程工程咨询总承包存在的主要问题；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2.当前市场上关于“全过程工程咨询公司”管理“设计施工总承包”的强烈需求；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3.如何进行设计施工总承包的招标和发包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？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4.如何对EPC项目进行工程规划、工程勘察与设计的管理（做法和案例）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？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5.如何结合两个“积极推广”最新法规对于EPC项目整合项目管理、采购和施工管理（做法和案例）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？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6.如何结合两个“积极推广”最新法规整合投资咨询、代理招标、工程监理和造价咨询服务（做法和案例）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？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7.全过程工程咨询服务中如何整合项目运行维护管理服务（做法和案例）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？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二、全过程工程咨询公司管理EPC的组织、管理、法律、经济及技术理论实务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1.全过程工程咨询负责人领导力、组织机构和团队建设（做法和案例）；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2.全过程工程咨询组织协调中对于EPC质量进度成本管理的整合管理和范围管理（做法和案例）；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3.全过程工程咨询公司对于EPC项目中与相关人的沟通管理（做法和案例）；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4.EPC项目的冲突管理特点及争端解决、商务谈判、突发事故处理以及公关危机处理（做法和案例）；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5.EPC项目特有的设计施工深度融合、平行搭接下的价值工程分析和风险管理（做法和案例）；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6.全过程工程咨询中当前困惑的如何处理最新版EPC合同管理（解读和案例）。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/>
          <w14:textFill>
            <w14:solidFill>
              <w14:schemeClr w14:val="tx1"/>
            </w14:solidFill>
          </w14:textFill>
        </w:rPr>
        <w:t>《建设项目工程总承包计价规范》解读、EPC项目招投标、索赔、计价结算管理与全过程工程咨询实务高级培训报名表</w:t>
      </w:r>
    </w:p>
    <w:tbl>
      <w:tblPr>
        <w:tblStyle w:val="11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《工程总包项目经理》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《合同经理》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《设计经理》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转账□      现场□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开户名称：北京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中科领航教育咨询有限公司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 户 行：中国工商银行股份有限公司北京半壁店支行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    号：02002470092000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2"/>
              <w:tabs>
                <w:tab w:val="left" w:pos="-1440"/>
              </w:tabs>
              <w:rPr>
                <w:rFonts w:hint="default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440" w:lineRule="exact"/>
        <w:ind w:right="-147" w:rightChars="-70"/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报名负责人：聂红军 主任18211071700（微信）   </w:t>
      </w:r>
    </w:p>
    <w:p>
      <w:pPr>
        <w:spacing w:line="440" w:lineRule="exact"/>
        <w:ind w:right="-147" w:rightChars="-70"/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 xml:space="preserve">电  话：13141289128        邮    箱：zqgphwz@126.com  </w:t>
      </w:r>
    </w:p>
    <w:p>
      <w:pPr>
        <w:spacing w:line="440" w:lineRule="exact"/>
        <w:ind w:right="-147" w:rightChars="-70"/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zh-CN"/>
        </w:rPr>
        <w:t>qq咨询：3177524020        网    址：http://www.zqgpchina.cn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right="560"/>
                            <w:jc w:val="right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id w:val="-757605078"/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560"/>
                      <w:jc w:val="right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id w:val="-757605078"/>
                      </w:sdtPr>
                      <w:sdtEnd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right="561"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id w:val="-1236462670"/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561"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id w:val="-1236462670"/>
                      </w:sdtPr>
                      <w:sdtEnd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711C"/>
    <w:multiLevelType w:val="singleLevel"/>
    <w:tmpl w:val="7BE0711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FkODdkZTRjNTI5MmQ5ZTc4N2MxOTFlY2Y5NTE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32F4101"/>
    <w:rsid w:val="0385099A"/>
    <w:rsid w:val="0386068D"/>
    <w:rsid w:val="038A10A3"/>
    <w:rsid w:val="039C6F92"/>
    <w:rsid w:val="03AB485F"/>
    <w:rsid w:val="04487934"/>
    <w:rsid w:val="04540AED"/>
    <w:rsid w:val="048243D7"/>
    <w:rsid w:val="04AF2D6A"/>
    <w:rsid w:val="0523326E"/>
    <w:rsid w:val="05A96AB9"/>
    <w:rsid w:val="05EC7C78"/>
    <w:rsid w:val="06250D8E"/>
    <w:rsid w:val="0633050A"/>
    <w:rsid w:val="06391792"/>
    <w:rsid w:val="069112B1"/>
    <w:rsid w:val="06A51757"/>
    <w:rsid w:val="06BE08D3"/>
    <w:rsid w:val="06E93649"/>
    <w:rsid w:val="072772CB"/>
    <w:rsid w:val="0745441F"/>
    <w:rsid w:val="07545E0D"/>
    <w:rsid w:val="077F502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A1C6B89"/>
    <w:rsid w:val="0A2827EF"/>
    <w:rsid w:val="0B4A62F6"/>
    <w:rsid w:val="0B613480"/>
    <w:rsid w:val="0BF55298"/>
    <w:rsid w:val="0C892991"/>
    <w:rsid w:val="0CEC7AC4"/>
    <w:rsid w:val="0D5B517E"/>
    <w:rsid w:val="0D821721"/>
    <w:rsid w:val="0D827406"/>
    <w:rsid w:val="0E2C2521"/>
    <w:rsid w:val="0E31529C"/>
    <w:rsid w:val="0E435214"/>
    <w:rsid w:val="0E567760"/>
    <w:rsid w:val="0E745121"/>
    <w:rsid w:val="0E821584"/>
    <w:rsid w:val="0EB130DD"/>
    <w:rsid w:val="0EC92D11"/>
    <w:rsid w:val="0EF2253E"/>
    <w:rsid w:val="0F371065"/>
    <w:rsid w:val="0F5D3AD7"/>
    <w:rsid w:val="0FB373C2"/>
    <w:rsid w:val="10003167"/>
    <w:rsid w:val="1041456A"/>
    <w:rsid w:val="10EA107C"/>
    <w:rsid w:val="10F152D1"/>
    <w:rsid w:val="10F4167B"/>
    <w:rsid w:val="11016338"/>
    <w:rsid w:val="111605D9"/>
    <w:rsid w:val="111B440F"/>
    <w:rsid w:val="112C5508"/>
    <w:rsid w:val="115A4FAB"/>
    <w:rsid w:val="11DE69DD"/>
    <w:rsid w:val="11F0177A"/>
    <w:rsid w:val="11FD174D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FC4E27"/>
    <w:rsid w:val="14061E0F"/>
    <w:rsid w:val="148E0DD7"/>
    <w:rsid w:val="148E5DF8"/>
    <w:rsid w:val="14D15D06"/>
    <w:rsid w:val="154E431F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A097045"/>
    <w:rsid w:val="1A3A2DE0"/>
    <w:rsid w:val="1A422706"/>
    <w:rsid w:val="1AB25031"/>
    <w:rsid w:val="1AE939B8"/>
    <w:rsid w:val="1B15334C"/>
    <w:rsid w:val="1B3E3E24"/>
    <w:rsid w:val="1B5A41CD"/>
    <w:rsid w:val="1B7376B4"/>
    <w:rsid w:val="1BA37954"/>
    <w:rsid w:val="1D070E95"/>
    <w:rsid w:val="1D2A548F"/>
    <w:rsid w:val="1D9B0042"/>
    <w:rsid w:val="1DF0590F"/>
    <w:rsid w:val="1E0326BA"/>
    <w:rsid w:val="1E7000A9"/>
    <w:rsid w:val="1E7E1343"/>
    <w:rsid w:val="1EB2462D"/>
    <w:rsid w:val="1ED316C4"/>
    <w:rsid w:val="1F18457B"/>
    <w:rsid w:val="1F2F5BB3"/>
    <w:rsid w:val="1FAB251C"/>
    <w:rsid w:val="1FC71F3D"/>
    <w:rsid w:val="1FF95C9E"/>
    <w:rsid w:val="20FC6AF6"/>
    <w:rsid w:val="20FE28AF"/>
    <w:rsid w:val="2186585E"/>
    <w:rsid w:val="21A53261"/>
    <w:rsid w:val="21B829B1"/>
    <w:rsid w:val="21CE131A"/>
    <w:rsid w:val="223C1057"/>
    <w:rsid w:val="226C63DB"/>
    <w:rsid w:val="230E4CAE"/>
    <w:rsid w:val="235403A6"/>
    <w:rsid w:val="238A6F7D"/>
    <w:rsid w:val="23962806"/>
    <w:rsid w:val="23C57ECD"/>
    <w:rsid w:val="23D82DB4"/>
    <w:rsid w:val="23E81CBE"/>
    <w:rsid w:val="23F9579F"/>
    <w:rsid w:val="241A5173"/>
    <w:rsid w:val="24314B90"/>
    <w:rsid w:val="24DC3957"/>
    <w:rsid w:val="24EF05CB"/>
    <w:rsid w:val="251233D5"/>
    <w:rsid w:val="256E19BE"/>
    <w:rsid w:val="25876083"/>
    <w:rsid w:val="25DA4976"/>
    <w:rsid w:val="265B1527"/>
    <w:rsid w:val="26626FE6"/>
    <w:rsid w:val="26C04997"/>
    <w:rsid w:val="270C53C6"/>
    <w:rsid w:val="277A037D"/>
    <w:rsid w:val="27867409"/>
    <w:rsid w:val="27FD3EE7"/>
    <w:rsid w:val="283A066B"/>
    <w:rsid w:val="287A7468"/>
    <w:rsid w:val="289555AD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05401A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2ED77982"/>
    <w:rsid w:val="2F3E7AD2"/>
    <w:rsid w:val="2FB175D0"/>
    <w:rsid w:val="2FFB46AF"/>
    <w:rsid w:val="305A58E9"/>
    <w:rsid w:val="30824DDC"/>
    <w:rsid w:val="309472A4"/>
    <w:rsid w:val="318A4283"/>
    <w:rsid w:val="32026033"/>
    <w:rsid w:val="323922EC"/>
    <w:rsid w:val="32766693"/>
    <w:rsid w:val="32994C24"/>
    <w:rsid w:val="32C450D5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61B60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96709C4"/>
    <w:rsid w:val="39936674"/>
    <w:rsid w:val="399506BD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C52023A"/>
    <w:rsid w:val="3C900681"/>
    <w:rsid w:val="3CAA234B"/>
    <w:rsid w:val="3D477772"/>
    <w:rsid w:val="3D642B8D"/>
    <w:rsid w:val="3DAD65CC"/>
    <w:rsid w:val="3E276C01"/>
    <w:rsid w:val="3EC67AC6"/>
    <w:rsid w:val="3F384684"/>
    <w:rsid w:val="3F55424E"/>
    <w:rsid w:val="3FE864ED"/>
    <w:rsid w:val="3FFF7618"/>
    <w:rsid w:val="40524679"/>
    <w:rsid w:val="41570631"/>
    <w:rsid w:val="415C20F7"/>
    <w:rsid w:val="41602D79"/>
    <w:rsid w:val="416E6F5C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FF3043"/>
    <w:rsid w:val="432A1040"/>
    <w:rsid w:val="437C2ED6"/>
    <w:rsid w:val="439C63DF"/>
    <w:rsid w:val="43ED5A13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73C4F36"/>
    <w:rsid w:val="481B35A5"/>
    <w:rsid w:val="484C1017"/>
    <w:rsid w:val="487724AD"/>
    <w:rsid w:val="48C360B2"/>
    <w:rsid w:val="48C57DA4"/>
    <w:rsid w:val="48E20B9B"/>
    <w:rsid w:val="4A7358AF"/>
    <w:rsid w:val="4A755C0A"/>
    <w:rsid w:val="4AAE60E5"/>
    <w:rsid w:val="4B377918"/>
    <w:rsid w:val="4B594EE9"/>
    <w:rsid w:val="4B612A39"/>
    <w:rsid w:val="4C5F36B2"/>
    <w:rsid w:val="4C6B3BAA"/>
    <w:rsid w:val="4C775D6C"/>
    <w:rsid w:val="4CF571BA"/>
    <w:rsid w:val="4CFF5D64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4338E1"/>
    <w:rsid w:val="50A02524"/>
    <w:rsid w:val="50CE2E68"/>
    <w:rsid w:val="50F87E96"/>
    <w:rsid w:val="51215B18"/>
    <w:rsid w:val="51C147EA"/>
    <w:rsid w:val="51EC1214"/>
    <w:rsid w:val="51F162B2"/>
    <w:rsid w:val="52036AFF"/>
    <w:rsid w:val="52286541"/>
    <w:rsid w:val="52A15CC9"/>
    <w:rsid w:val="54101469"/>
    <w:rsid w:val="542E50BE"/>
    <w:rsid w:val="54367BA8"/>
    <w:rsid w:val="54617A0D"/>
    <w:rsid w:val="548C494D"/>
    <w:rsid w:val="54CF74C2"/>
    <w:rsid w:val="54E82E0F"/>
    <w:rsid w:val="5567591F"/>
    <w:rsid w:val="5577615B"/>
    <w:rsid w:val="55CE23FE"/>
    <w:rsid w:val="56BA3299"/>
    <w:rsid w:val="56E56A5A"/>
    <w:rsid w:val="57585BA4"/>
    <w:rsid w:val="575B5092"/>
    <w:rsid w:val="581229F6"/>
    <w:rsid w:val="595841FF"/>
    <w:rsid w:val="59637CEE"/>
    <w:rsid w:val="59BD7460"/>
    <w:rsid w:val="5A231AE8"/>
    <w:rsid w:val="5A2C4116"/>
    <w:rsid w:val="5A324F4B"/>
    <w:rsid w:val="5AA20D9D"/>
    <w:rsid w:val="5AEA0E1C"/>
    <w:rsid w:val="5B3C509D"/>
    <w:rsid w:val="5B4D0B3F"/>
    <w:rsid w:val="5B743BCB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887102"/>
    <w:rsid w:val="5E9152CB"/>
    <w:rsid w:val="5E993EEC"/>
    <w:rsid w:val="5F1E43C2"/>
    <w:rsid w:val="5F416193"/>
    <w:rsid w:val="5F745955"/>
    <w:rsid w:val="5F856924"/>
    <w:rsid w:val="5FDB104A"/>
    <w:rsid w:val="603311A1"/>
    <w:rsid w:val="6045684E"/>
    <w:rsid w:val="606C5CFF"/>
    <w:rsid w:val="60C801AD"/>
    <w:rsid w:val="60E15E4B"/>
    <w:rsid w:val="613414D3"/>
    <w:rsid w:val="6151530B"/>
    <w:rsid w:val="616C7122"/>
    <w:rsid w:val="61AD75F0"/>
    <w:rsid w:val="61D342E4"/>
    <w:rsid w:val="61E07B86"/>
    <w:rsid w:val="61F213C0"/>
    <w:rsid w:val="627774A4"/>
    <w:rsid w:val="631E3504"/>
    <w:rsid w:val="63DB71A1"/>
    <w:rsid w:val="640F6A0D"/>
    <w:rsid w:val="64503C1C"/>
    <w:rsid w:val="646A1129"/>
    <w:rsid w:val="64895786"/>
    <w:rsid w:val="64CD3806"/>
    <w:rsid w:val="65303BEA"/>
    <w:rsid w:val="653F1202"/>
    <w:rsid w:val="6556312C"/>
    <w:rsid w:val="65F523A6"/>
    <w:rsid w:val="66AA3B93"/>
    <w:rsid w:val="67074059"/>
    <w:rsid w:val="673E2ADB"/>
    <w:rsid w:val="676104D8"/>
    <w:rsid w:val="677C64E9"/>
    <w:rsid w:val="68013273"/>
    <w:rsid w:val="68062FC8"/>
    <w:rsid w:val="68246BFD"/>
    <w:rsid w:val="68766A33"/>
    <w:rsid w:val="68C47B1D"/>
    <w:rsid w:val="68CA5C3B"/>
    <w:rsid w:val="69892233"/>
    <w:rsid w:val="6A4468B1"/>
    <w:rsid w:val="6AB24EDF"/>
    <w:rsid w:val="6BC77D72"/>
    <w:rsid w:val="6BFA1A7B"/>
    <w:rsid w:val="6C277C5F"/>
    <w:rsid w:val="6C68011A"/>
    <w:rsid w:val="6CA466E7"/>
    <w:rsid w:val="6CB0057C"/>
    <w:rsid w:val="6CC56367"/>
    <w:rsid w:val="6D1B37B0"/>
    <w:rsid w:val="6D394F0C"/>
    <w:rsid w:val="6E7828AC"/>
    <w:rsid w:val="6E854B40"/>
    <w:rsid w:val="6EF717BC"/>
    <w:rsid w:val="6EFE35A8"/>
    <w:rsid w:val="6F2351BC"/>
    <w:rsid w:val="6F483536"/>
    <w:rsid w:val="6F6F407E"/>
    <w:rsid w:val="700F7661"/>
    <w:rsid w:val="703656F9"/>
    <w:rsid w:val="70714C0A"/>
    <w:rsid w:val="70DB06CC"/>
    <w:rsid w:val="71083ECB"/>
    <w:rsid w:val="710A5F9F"/>
    <w:rsid w:val="710F48B3"/>
    <w:rsid w:val="71827032"/>
    <w:rsid w:val="726F450B"/>
    <w:rsid w:val="72894E6B"/>
    <w:rsid w:val="735943ED"/>
    <w:rsid w:val="73A22A85"/>
    <w:rsid w:val="74494D92"/>
    <w:rsid w:val="748C3F03"/>
    <w:rsid w:val="749E203D"/>
    <w:rsid w:val="75016E65"/>
    <w:rsid w:val="75406B41"/>
    <w:rsid w:val="75E95199"/>
    <w:rsid w:val="766F0C55"/>
    <w:rsid w:val="767C1E15"/>
    <w:rsid w:val="77396FDF"/>
    <w:rsid w:val="778E4E74"/>
    <w:rsid w:val="77CA375F"/>
    <w:rsid w:val="77F4090C"/>
    <w:rsid w:val="780C7113"/>
    <w:rsid w:val="78895C14"/>
    <w:rsid w:val="78CF75F0"/>
    <w:rsid w:val="78DB7975"/>
    <w:rsid w:val="79BD73F0"/>
    <w:rsid w:val="79CE5F86"/>
    <w:rsid w:val="7A206ACF"/>
    <w:rsid w:val="7A6978F9"/>
    <w:rsid w:val="7AEE204F"/>
    <w:rsid w:val="7B7C2350"/>
    <w:rsid w:val="7BEB3862"/>
    <w:rsid w:val="7BF46A89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413D0D"/>
    <w:rsid w:val="7F432B09"/>
    <w:rsid w:val="7F492E9C"/>
    <w:rsid w:val="7F4C292B"/>
    <w:rsid w:val="7F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2"/>
    <w:basedOn w:val="1"/>
    <w:link w:val="18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7"/>
    <w:semiHidden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19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正文文本 2 Char1"/>
    <w:qFormat/>
    <w:uiPriority w:val="0"/>
    <w:rPr>
      <w:kern w:val="2"/>
      <w:sz w:val="21"/>
      <w:szCs w:val="22"/>
    </w:rPr>
  </w:style>
  <w:style w:type="paragraph" w:customStyle="1" w:styleId="21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2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paragraph" w:styleId="2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Table Paragraph"/>
    <w:basedOn w:val="1"/>
    <w:qFormat/>
    <w:uiPriority w:val="1"/>
    <w:pPr>
      <w:spacing w:line="300" w:lineRule="exact"/>
      <w:ind w:left="1307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7</Pages>
  <Words>3835</Words>
  <Characters>4269</Characters>
  <Lines>24</Lines>
  <Paragraphs>6</Paragraphs>
  <TotalTime>1</TotalTime>
  <ScaleCrop>false</ScaleCrop>
  <LinksUpToDate>false</LinksUpToDate>
  <CharactersWithSpaces>4473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2018-06-15T02:55:00Z</dcterms:created>
  <dc:creator>马强</dc:creator>
  <cp:lastModifiedBy>Administrator</cp:lastModifiedBy>
  <cp:lastPrinted>2019-12-04T11:52:00Z</cp:lastPrinted>
  <dcterms:modified xsi:type="dcterms:W3CDTF">2023-05-07T05:30:45Z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218D16AA1A814C1484C2104B58B5FB00</vt:lpwstr>
  </property>
</Properties>
</file>