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Autospacing="0" w:afterAutospacing="0" w:line="360" w:lineRule="atLeast"/>
        <w:jc w:val="center"/>
        <w:rPr>
          <w:rFonts w:hint="default" w:ascii="黑体" w:hAnsi="黑体" w:eastAsia="黑体" w:cs="黑体"/>
          <w:color w:val="FF0000"/>
          <w:spacing w:val="-23"/>
          <w:w w:val="66"/>
          <w:sz w:val="132"/>
          <w:szCs w:val="136"/>
        </w:rPr>
      </w:pPr>
      <w:r>
        <w:rPr>
          <w:rFonts w:ascii="黑体" w:hAnsi="黑体" w:eastAsia="黑体" w:cs="黑体"/>
          <w:color w:val="FF0000"/>
          <w:spacing w:val="-23"/>
          <w:w w:val="66"/>
          <w:sz w:val="132"/>
          <w:szCs w:val="136"/>
        </w:rPr>
        <w:t>中采建培教育技术院文件</w: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147955</wp:posOffset>
                </wp:positionV>
                <wp:extent cx="6169025" cy="15875"/>
                <wp:effectExtent l="0" t="9525" r="3175" b="127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9025" cy="1587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.4pt;margin-top:11.65pt;height:1.25pt;width:485.75pt;z-index:251660288;mso-width-relative:page;mso-height-relative:page;" filled="f" stroked="t" coordsize="21600,21600" o:gfxdata="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cAwPLaAAAACQEAAA8A&#10;AAAAAAAAAQAgAAAAIgAAAGRycy9kb3ducmV2LnhtbFBLAQIUABQAAAAIAIdO4kCFh6Gi3AEAAJkD&#10;AAAOAAAAAAAAAAEAIAAAACkBAABkcnMvZTJvRG9jLnhtbFBLBQYAAAAABgAGAFkBAAB3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6"/>
        <w:widowControl/>
        <w:shd w:val="clear" w:color="auto" w:fill="FFFFFF"/>
        <w:spacing w:beforeAutospacing="0" w:afterAutospacing="0" w:line="360" w:lineRule="atLeast"/>
        <w:ind w:firstLine="6000" w:firstLineChars="2000"/>
        <w:jc w:val="both"/>
        <w:rPr>
          <w:rFonts w:hint="default" w:ascii="微软雅黑" w:hAnsi="微软雅黑" w:eastAsia="微软雅黑" w:cs="微软雅黑"/>
          <w:b w:val="0"/>
          <w:bCs w:val="0"/>
          <w:color w:val="0E59A4"/>
          <w:shd w:val="clear" w:color="auto" w:fill="FFFFFF"/>
        </w:rPr>
      </w:pPr>
      <w:r>
        <w:rPr>
          <w:rFonts w:ascii="仿宋" w:hAnsi="仿宋" w:eastAsia="仿宋" w:cs="仿宋"/>
          <w:b w:val="0"/>
          <w:bCs w:val="0"/>
          <w:kern w:val="2"/>
          <w:sz w:val="30"/>
          <w:szCs w:val="30"/>
        </w:rPr>
        <w:t>中采建培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</w:rPr>
        <w:t>〔</w:t>
      </w:r>
      <w:r>
        <w:rPr>
          <w:rFonts w:ascii="仿宋" w:hAnsi="仿宋" w:eastAsia="仿宋" w:cs="仿宋"/>
          <w:b w:val="0"/>
          <w:bCs w:val="0"/>
          <w:kern w:val="2"/>
          <w:sz w:val="30"/>
          <w:szCs w:val="30"/>
        </w:rPr>
        <w:t>2023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</w:rPr>
        <w:t>〕</w:t>
      </w:r>
      <w:r>
        <w:rPr>
          <w:rFonts w:hint="eastAsia" w:hAnsi="仿宋" w:eastAsia="仿宋" w:cs="仿宋"/>
          <w:b w:val="0"/>
          <w:bCs w:val="0"/>
          <w:kern w:val="2"/>
          <w:sz w:val="30"/>
          <w:szCs w:val="30"/>
          <w:lang w:val="en-US" w:eastAsia="zh-CN"/>
        </w:rPr>
        <w:t>8</w:t>
      </w:r>
      <w:r>
        <w:rPr>
          <w:rFonts w:ascii="仿宋" w:hAnsi="仿宋" w:eastAsia="仿宋" w:cs="仿宋"/>
          <w:b w:val="0"/>
          <w:bCs w:val="0"/>
          <w:kern w:val="2"/>
          <w:sz w:val="30"/>
          <w:szCs w:val="30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关于举办EPC工程总承包项目全过程（立项、招采、建设）等阶段疑难问题解析专题训练营的通知</w:t>
      </w:r>
    </w:p>
    <w:p>
      <w:pPr>
        <w:pStyle w:val="2"/>
      </w:pPr>
    </w:p>
    <w:p>
      <w:pPr>
        <w:spacing w:line="440" w:lineRule="exact"/>
        <w:rPr>
          <w:rFonts w:hint="eastAsia" w:ascii="仿宋" w:hAnsi="仿宋" w:eastAsia="仿宋" w:cs="仿宋"/>
          <w:b/>
          <w:bCs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10"/>
          <w:sz w:val="28"/>
          <w:szCs w:val="28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依据国务院2019年7月1日颁布实施的《政府投资条例》，依据住建部、国家发改委2020年3月1日联合发布《房屋建筑和市政基础设施项目工程总承包管理办法》（[2019]12号），以及住房和城乡建设部、市场监管总局制定了《建设项目工程总承包合同（示范文本）》（GF-2020-0216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如何识别EPC工程总承包项目立项、招采、建设等阶段风险防控及项目合规性审查。同时，对EPC项目合同履约风险把控、工程造价、审计等阶段各个节点存在的纠纷及隐患点、涉法行政诉讼案件如何进行有效处理。以达到提升政府及企业项目投资及项目执行管控能力，适应新时期下项目的发展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3363595</wp:posOffset>
            </wp:positionH>
            <wp:positionV relativeFrom="paragraph">
              <wp:posOffset>1650365</wp:posOffset>
            </wp:positionV>
            <wp:extent cx="2565400" cy="1971040"/>
            <wp:effectExtent l="0" t="0" r="6350" b="10160"/>
            <wp:wrapNone/>
            <wp:docPr id="3" name="图片 3" descr="ac4d167ae5ff288617da2b120e617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c4d167ae5ff288617da2b120e617f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为帮助政府职能部门、协会、建设单位、设计单位、施工单位、监理单位、全过程项目咨询单位等相关人员学习理解EPC工程总承包项目全过程行业新政策和管控方法，全面提高项目管理水平，厘清实务中重点难点、疑点、焦点等专业共性问题，实质性地提高专业素养和能力。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中采建培教育技术院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决定于举办“EPC工程总承包项目全过程（立项、招标、建设）等阶段疑难问题解析专题训练营”。</w:t>
      </w:r>
      <w:r>
        <w:rPr>
          <w:rFonts w:hint="eastAsia" w:ascii="仿宋" w:hAnsi="仿宋" w:eastAsia="仿宋" w:cs="仿宋"/>
          <w:sz w:val="30"/>
          <w:szCs w:val="32"/>
        </w:rPr>
        <w:t>请各单位积极组织本单位及下属单位相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关人员参加。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附件一：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内容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附件二：报名表</w:t>
      </w:r>
    </w:p>
    <w:p>
      <w:pPr>
        <w:spacing w:line="44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rPr>
          <w:rFonts w:hint="eastAsia"/>
        </w:rPr>
      </w:pPr>
    </w:p>
    <w:p>
      <w:pPr>
        <w:widowControl/>
        <w:autoSpaceDE w:val="0"/>
        <w:autoSpaceDN w:val="0"/>
        <w:adjustRightInd w:val="0"/>
        <w:spacing w:line="40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一、培训内容</w:t>
      </w:r>
    </w:p>
    <w:p>
      <w:pPr>
        <w:spacing w:line="40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（一）政府投资类EPC工程总承包项目立项阶段疑难问题：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1.EPC工程总承包项目立项的合规性？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2.EPC工程总承包项目立项选址与区域经济发展是否相辅相成?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3.EPC工程总承包项目立项阶段调规的可行性与科学性分析?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4.EPC工程总承包项目立项阶段土地获取的方式及其合规性审查?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5.EPC工程总承包项目立项阶段集体用地、建筑用地、林业用地、宅基地之间的关联关系及其边界条件？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6.EPC工程总承包项目建议书编制依据及其科学性分析？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7.EPC工程总承包项目建议书批复文件的有效性？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8.如何划定EPC工程总承包项目可研的建设边界？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9.如何确定EPC工程总承包项目可研的科学性与真实性?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10.基于可研及地勘等文件下初步设计的方向与目标？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11、EPC工程总承包项目初步设计的深度是否影响项目实施？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12、EPC工程总承包初步设计批复的基本条件？</w:t>
      </w:r>
    </w:p>
    <w:p>
      <w:pPr>
        <w:spacing w:line="40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（二）政企合作模式下EPC工程总承包项目立项阶段疑难问题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1. 如何处理 PPP + EPC模式下立项阶段征拆费与安置费?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2. 如何界定ABO + EPC模式下立项阶段项目执行主体资格?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3. EOD + EPC模式下立项阶段的投资分析及财务分析？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4. F + EPC模式的合规性审查与政府隐性债务分析？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5. PPP+专项债模式下的EPC工程总承包立项阶段合规性分析？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6. 如何定性政企合作模式下的政府隐性债务？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7. 政企合作模式下的EPC工程总承包项目是否受《政府投资条例》管制？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8. 政企合作模式下的EPC工程总承包项目是否受《房屋建筑与市政基础设施项目工程总承包管理办法》管制?</w:t>
      </w:r>
    </w:p>
    <w:p>
      <w:pPr>
        <w:spacing w:line="40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（三）EPC项目招标阶段疑难问题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1. 政府投资类EPC工程总承包项目招标的边界条件？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2. 政府投资类EPC工程总承包项目招标的基准?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3. 如何界定政府投资类EPC项目招标阶段初步设计与概算的深度?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4. 政企合作模式下EPC项目招标是否以初设概算作为要约基本条件？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5. EPC工程总承包项目招标采用费率下浮+总价包干模式的利弊分析？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6. EPC工程总承包项目招标的三大基准线控制原则?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7. 招标阶段是否要求承包人带设计方案投标？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8. 固定总价合同的局限性？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9.  EPC联合体投标的利弊分析？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10. EPC联合体成员间责任划分的标准与依据？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11. EPC联合体业绩申报的基本原则有哪些？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12. EPC项目组价的清单及基本原则？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13. EPC工程总承包项目招标文件主项清单的边界？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14. EPC工程总承包项目合同范本有哪些基本条件？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15. EPC工程总承包项目项目建设边界与合同边界的区别？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16. EPC工程总承包项目计价规则设定哪些基本原则？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17. 如何复核EPC项目招标文件的完整性与真实性？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18. EPC项目能否采用进行模拟清单报价？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19. EPC项目投标中盈亏平衡分析与财务分析的区别？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20. EPC项目招标阶段建管费、暂列金、预备费、总承包服务费等计费依据及其使用规则？</w:t>
      </w:r>
    </w:p>
    <w:p>
      <w:pPr>
        <w:spacing w:line="40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（四）EPC项目建设阶段疑难问题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1.如何认定EPC项目中标后的项目执行主体资格？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2.EPC项目中标后，合同签署前有哪些关键事项？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3.EPC联合体项目部的权力与义务？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4.EPC联合体项目部管理程序及其管控原则有哪些？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5.EPC联合体项目部有哪些组织架构与管控流程？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6.EPC联合体项目部中设计部门的岗位职责与管理边界？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7.EPC工程总承包项目设计管理的核心有哪些？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8.如何确定EPC工程总承包项目设计、采购、施工的工作界面？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9.试运行费用的计费标准及其使用范围？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10.EPC联合项目部设计单位是否有权限直接对接业主？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11.EPC联合体项目部中业主是否有权限直接对设计院发布指令？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12.EPC项目执行中只有会议纪要，业主签字但并未盖章，该会议纪要是否有效？如涉及到改变项目属性，能否据此发起变更？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13.EPC工程总承包项目中清单计价的利弊？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14.EPC工程总承包项目如何采用量价分离进行计价？</w:t>
      </w:r>
    </w:p>
    <w:p>
      <w:pPr>
        <w:spacing w:line="40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（五）EPC项目变更与审计疑难问题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1.如何界定项目建设边界与EPC合同边界？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2.清单计价规则下，如何处理预算超合同价、超概算价、超估算价？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3.EPC项目中，招标文件的错误是否能作为变更依据？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4.EPC项目超出合同约定的调价范围是否还能进行变更？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5.EPC项目总承包模式的盈利点有哪些？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 xml:space="preserve">6.EPC项目中，需要进行认质认价的设备及材料如何定价？  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7.EPC项目执行过程中，业主口头变更，是否代表项目可以进行变更？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8.EPC项目执行过程中业主在施工图设计时要求提标，是否构成项目变更？是否可以进行变更签证？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9.EPC项目执行过程中，项目结算以审定的施工图预算作为基价进行结算，基于此条件下如何做项目结算？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10.EPC项目执行过程中，项目结算以审定的施工图预算同比例下浮后作为基价进行结算，基于此条件下如何做项目结算？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11.EPC项目执行过程中，跟计、财审、全咨三方之间的关系与工作界面？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12.EPC项目执行过程中，通过设计优化出的利润是否归属承包人？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13.EPC项目执行过程中，基于业主的要求项目建设内容进行调整，调整后的规模超出初设或可研的10%以上，是否合规？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14.EPC项目财审施工图预算是否要在原施工图预算的基础上进行扣减？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15.EPC项目执行过程中，基于双下浮的结算规则，如何编制施工图预算？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8"/>
          <w:szCs w:val="28"/>
        </w:rPr>
        <w:t>16.如何界定EPC项目合同价与结算价之间的关联关系？</w:t>
      </w:r>
    </w:p>
    <w:p>
      <w:pPr>
        <w:pStyle w:val="12"/>
        <w:spacing w:line="400" w:lineRule="exact"/>
        <w:ind w:firstLine="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二、培训对象</w:t>
      </w:r>
    </w:p>
    <w:p>
      <w:pPr>
        <w:pStyle w:val="12"/>
        <w:spacing w:line="40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地政府建设项目监管部门、工程交易中心、投资项目评审中心；各业主单位从事项目管理、合同管理、工程项目建设、开发、审计等相关部门人员；各建筑施工企业、工程公司、总承包公司、设计院、成套设备公司、设备材料供应商、国际招标公司、律师事务所及各公司的总经理、副总经理、部门经理、项目经理、市场开发、法务专员等相关部门负责人、中高等院校、医院及科研机构、参与EPC项目管理的所有管理者。</w:t>
      </w:r>
    </w:p>
    <w:p>
      <w:pPr>
        <w:pStyle w:val="12"/>
        <w:spacing w:line="400" w:lineRule="exact"/>
        <w:ind w:firstLine="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三、拟邀专家</w:t>
      </w:r>
    </w:p>
    <w:p>
      <w:pPr>
        <w:widowControl/>
        <w:spacing w:line="4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国家发改委、住建部、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行业协会、参与新规范编写的有关专家</w:t>
      </w:r>
      <w:r>
        <w:rPr>
          <w:rFonts w:hint="eastAsia" w:ascii="仿宋" w:hAnsi="仿宋" w:eastAsia="仿宋" w:cs="仿宋"/>
          <w:sz w:val="28"/>
          <w:szCs w:val="28"/>
        </w:rPr>
        <w:t>和国内一流EPC总承包项目管理丰富经验的实战专家现场授课，结合经典实例分析，并进行现场答疑和互动交流。</w:t>
      </w:r>
    </w:p>
    <w:p>
      <w:pPr>
        <w:pStyle w:val="12"/>
        <w:spacing w:line="400" w:lineRule="exact"/>
        <w:ind w:firstLine="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四、培训时间和地点</w:t>
      </w:r>
    </w:p>
    <w:p>
      <w:pPr>
        <w:pStyle w:val="12"/>
        <w:spacing w:line="40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2023年07月06日-09日（06日全天报到）地点：广州市</w:t>
      </w:r>
    </w:p>
    <w:p>
      <w:pPr>
        <w:pStyle w:val="12"/>
        <w:spacing w:line="40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2023年07月27日-30日（27日全天报报）地点：昆明市</w:t>
      </w:r>
    </w:p>
    <w:p>
      <w:pPr>
        <w:pStyle w:val="12"/>
        <w:spacing w:line="40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2023年08月16日-19日（16日全天报到）地点：青岛市</w:t>
      </w:r>
    </w:p>
    <w:p>
      <w:pPr>
        <w:pStyle w:val="12"/>
        <w:spacing w:line="40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2023年09月06日-09日（06日全天报到）地点：上海市</w:t>
      </w:r>
    </w:p>
    <w:p>
      <w:pPr>
        <w:pStyle w:val="12"/>
        <w:spacing w:line="40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2023年09月22日-25日（22日全天报到）地点：郑州市</w:t>
      </w:r>
    </w:p>
    <w:p>
      <w:pPr>
        <w:pStyle w:val="12"/>
        <w:spacing w:line="400" w:lineRule="exact"/>
        <w:ind w:firstLine="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五、收费标准</w:t>
      </w:r>
    </w:p>
    <w:p>
      <w:pPr>
        <w:pStyle w:val="12"/>
        <w:spacing w:line="40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标准：3600元/人（含培训、资料、课件、场地、午餐费、专家等），住宿会务组统一安排，费用自理。</w:t>
      </w:r>
    </w:p>
    <w:p>
      <w:pPr>
        <w:pStyle w:val="12"/>
        <w:spacing w:line="400" w:lineRule="exact"/>
        <w:ind w:firstLine="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六、联系方式</w:t>
      </w:r>
    </w:p>
    <w:p>
      <w:pPr>
        <w:pStyle w:val="12"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报名负责人：聂红军 主任18211071700（微信）   </w:t>
      </w:r>
    </w:p>
    <w:p>
      <w:pPr>
        <w:pStyle w:val="12"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电  话：13141289128        邮    箱：zqgphwz@126.com  </w:t>
      </w:r>
    </w:p>
    <w:p>
      <w:pPr>
        <w:pStyle w:val="12"/>
        <w:spacing w:line="420" w:lineRule="exact"/>
        <w:ind w:firstLine="560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qq咨询：3177524020        网    址：http://www.zqgpchina.cn</w:t>
      </w:r>
    </w:p>
    <w:p>
      <w:pPr>
        <w:pStyle w:val="12"/>
        <w:spacing w:line="420" w:lineRule="exact"/>
        <w:ind w:firstLine="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12"/>
        <w:spacing w:line="420" w:lineRule="exact"/>
        <w:ind w:firstLine="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12"/>
        <w:spacing w:line="420" w:lineRule="exact"/>
        <w:ind w:firstLine="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12"/>
        <w:spacing w:line="420" w:lineRule="exact"/>
        <w:ind w:firstLine="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12"/>
        <w:spacing w:line="420" w:lineRule="exact"/>
        <w:ind w:firstLine="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12"/>
        <w:spacing w:line="420" w:lineRule="exact"/>
        <w:ind w:firstLine="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12"/>
        <w:spacing w:line="420" w:lineRule="exact"/>
        <w:ind w:firstLine="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12"/>
        <w:spacing w:line="420" w:lineRule="exact"/>
        <w:ind w:firstLine="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12"/>
        <w:spacing w:line="420" w:lineRule="exact"/>
        <w:ind w:firstLine="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12"/>
        <w:spacing w:line="420" w:lineRule="exact"/>
        <w:ind w:firstLine="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12"/>
        <w:spacing w:line="420" w:lineRule="exact"/>
        <w:ind w:firstLine="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12"/>
        <w:spacing w:line="420" w:lineRule="exact"/>
        <w:ind w:firstLine="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12"/>
        <w:spacing w:line="420" w:lineRule="exact"/>
        <w:ind w:firstLine="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12"/>
        <w:spacing w:line="420" w:lineRule="exact"/>
        <w:ind w:firstLine="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12"/>
        <w:spacing w:line="420" w:lineRule="exact"/>
        <w:ind w:firstLine="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附件二：</w:t>
      </w:r>
    </w:p>
    <w:p>
      <w:pPr>
        <w:pStyle w:val="12"/>
        <w:spacing w:line="420" w:lineRule="exact"/>
        <w:ind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“EPC工程总承包项目全过程（立项、招采、建设）等阶段疑难问题解析专题训练营”报名回执表</w:t>
      </w:r>
    </w:p>
    <w:tbl>
      <w:tblPr>
        <w:tblStyle w:val="9"/>
        <w:tblpPr w:leftFromText="180" w:rightFromText="180" w:vertAnchor="text" w:horzAnchor="margin" w:tblpXSpec="center" w:tblpY="70"/>
        <w:tblW w:w="94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888"/>
        <w:gridCol w:w="1693"/>
        <w:gridCol w:w="1620"/>
        <w:gridCol w:w="127"/>
        <w:gridCol w:w="1260"/>
        <w:gridCol w:w="197"/>
        <w:gridCol w:w="220"/>
        <w:gridCol w:w="296"/>
        <w:gridCol w:w="682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（开票单位）</w:t>
            </w:r>
          </w:p>
        </w:tc>
        <w:tc>
          <w:tcPr>
            <w:tcW w:w="60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  编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78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 系 人</w:t>
            </w:r>
          </w:p>
        </w:tc>
        <w:tc>
          <w:tcPr>
            <w:tcW w:w="4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E-mail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    话</w:t>
            </w:r>
          </w:p>
        </w:tc>
        <w:tc>
          <w:tcPr>
            <w:tcW w:w="4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  真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别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部  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务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 机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是否住宿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□是     □否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住宿要求</w:t>
            </w:r>
          </w:p>
        </w:tc>
        <w:tc>
          <w:tcPr>
            <w:tcW w:w="36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□单住(需另补床位费) □合住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参会地点</w:t>
            </w:r>
          </w:p>
        </w:tc>
        <w:tc>
          <w:tcPr>
            <w:tcW w:w="78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付款方式</w:t>
            </w:r>
          </w:p>
        </w:tc>
        <w:tc>
          <w:tcPr>
            <w:tcW w:w="4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□通过银行  □微信或支付宝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金额 额</w:t>
            </w:r>
          </w:p>
        </w:tc>
        <w:tc>
          <w:tcPr>
            <w:tcW w:w="22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开票信息</w:t>
            </w:r>
          </w:p>
        </w:tc>
        <w:tc>
          <w:tcPr>
            <w:tcW w:w="78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增值税专用发票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□增值税普票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开票信息</w:t>
            </w:r>
          </w:p>
        </w:tc>
        <w:tc>
          <w:tcPr>
            <w:tcW w:w="78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收款账户</w:t>
            </w:r>
          </w:p>
        </w:tc>
        <w:tc>
          <w:tcPr>
            <w:tcW w:w="78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单位名称：北京众兴企培咨询有限公司</w:t>
            </w:r>
          </w:p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开户行：中国工商银行股份有限公司北京龙泉支行</w:t>
            </w:r>
          </w:p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账  号：0200002009200234085（行号：102100000208）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57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请将参会回执回传或E-mail至会务组，在报名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日内将培训费通过银行或邮局等方式付款，会务组确认到款后即发《参会凭证》，其中将详细注明报到时间、地点、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具体安排事项。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</w:pPr>
          </w:p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单位印章</w:t>
            </w:r>
          </w:p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二零二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年 月 日</w:t>
            </w:r>
          </w:p>
        </w:tc>
      </w:tr>
    </w:tbl>
    <w:p>
      <w:pPr>
        <w:pStyle w:val="12"/>
        <w:tabs>
          <w:tab w:val="left" w:pos="777"/>
        </w:tabs>
        <w:spacing w:line="420" w:lineRule="exact"/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注：1.本次培训内容及建筑口相关管理培训均可赴企业提供内训;</w:t>
      </w:r>
    </w:p>
    <w:p>
      <w:pPr>
        <w:pStyle w:val="12"/>
        <w:spacing w:line="42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2.欢迎与会代表携带相关资料和案例赴会与专家进行交流</w:t>
      </w:r>
    </w:p>
    <w:p>
      <w:pPr>
        <w:pStyle w:val="12"/>
        <w:spacing w:line="42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3.报名负责人：聂红军 主任18211071700（微信）   </w:t>
      </w:r>
    </w:p>
    <w:p>
      <w:pPr>
        <w:pStyle w:val="12"/>
        <w:spacing w:line="420" w:lineRule="exact"/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电  话：13141289128        邮    箱：zqgphwz@126.com  </w:t>
      </w:r>
    </w:p>
    <w:p>
      <w:pPr>
        <w:pStyle w:val="12"/>
        <w:spacing w:line="420" w:lineRule="exact"/>
        <w:ind w:firstLine="840" w:firstLineChars="3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qq咨询：3177524020        网    址：http://www.zqgpchina.cn</w:t>
      </w:r>
    </w:p>
    <w:sectPr>
      <w:footerReference r:id="rId3" w:type="default"/>
      <w:pgSz w:w="11906" w:h="16838"/>
      <w:pgMar w:top="1440" w:right="1247" w:bottom="1440" w:left="124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960" w:firstLineChars="2200"/>
      <w:rPr>
        <w:rFonts w:hint="default" w:eastAsia="宋体"/>
        <w:lang w:val="en-US" w:eastAsia="zh-CN"/>
      </w:rPr>
    </w:pPr>
    <w:r>
      <w:rPr>
        <w:rFonts w:hint="default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trackedChanges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zY2NlNjZjOWY0N2EwZjc1NTYwNGUwZWJkMmY1ZDQifQ=="/>
  </w:docVars>
  <w:rsids>
    <w:rsidRoot w:val="24E47DC8"/>
    <w:rsid w:val="000B6281"/>
    <w:rsid w:val="002A6A58"/>
    <w:rsid w:val="002D7F77"/>
    <w:rsid w:val="00742E01"/>
    <w:rsid w:val="00B61EEE"/>
    <w:rsid w:val="00D41664"/>
    <w:rsid w:val="00D93A68"/>
    <w:rsid w:val="00E31E15"/>
    <w:rsid w:val="00FD33F4"/>
    <w:rsid w:val="011253ED"/>
    <w:rsid w:val="014852B3"/>
    <w:rsid w:val="01C40C57"/>
    <w:rsid w:val="02FC35A4"/>
    <w:rsid w:val="047F723D"/>
    <w:rsid w:val="04E452F2"/>
    <w:rsid w:val="054933A7"/>
    <w:rsid w:val="05720B50"/>
    <w:rsid w:val="05B00656"/>
    <w:rsid w:val="05D42770"/>
    <w:rsid w:val="065F2DCC"/>
    <w:rsid w:val="073F2CB4"/>
    <w:rsid w:val="075F150C"/>
    <w:rsid w:val="0936425D"/>
    <w:rsid w:val="0A9816BC"/>
    <w:rsid w:val="0BDA2FDA"/>
    <w:rsid w:val="0C542322"/>
    <w:rsid w:val="0CE7486D"/>
    <w:rsid w:val="0D7C36AD"/>
    <w:rsid w:val="0DE325EB"/>
    <w:rsid w:val="0ED463D8"/>
    <w:rsid w:val="0F511CB5"/>
    <w:rsid w:val="104906FF"/>
    <w:rsid w:val="105A5869"/>
    <w:rsid w:val="10957640"/>
    <w:rsid w:val="1096763D"/>
    <w:rsid w:val="10D679ED"/>
    <w:rsid w:val="117F6ACF"/>
    <w:rsid w:val="14123C2A"/>
    <w:rsid w:val="14F00D2C"/>
    <w:rsid w:val="15BD7BC5"/>
    <w:rsid w:val="15D849FF"/>
    <w:rsid w:val="16284E7A"/>
    <w:rsid w:val="166D4C9E"/>
    <w:rsid w:val="16AE259D"/>
    <w:rsid w:val="16E64A0E"/>
    <w:rsid w:val="19A13BB4"/>
    <w:rsid w:val="19D21766"/>
    <w:rsid w:val="1A405AF9"/>
    <w:rsid w:val="1A473F02"/>
    <w:rsid w:val="1B486183"/>
    <w:rsid w:val="1BB67591"/>
    <w:rsid w:val="1BEC10B9"/>
    <w:rsid w:val="1C7865F4"/>
    <w:rsid w:val="1CB06348"/>
    <w:rsid w:val="1E5135A1"/>
    <w:rsid w:val="1F7F7C9A"/>
    <w:rsid w:val="214271D1"/>
    <w:rsid w:val="21B52B0E"/>
    <w:rsid w:val="21DF0EC4"/>
    <w:rsid w:val="22543660"/>
    <w:rsid w:val="22F42DCC"/>
    <w:rsid w:val="2344262C"/>
    <w:rsid w:val="23517B9F"/>
    <w:rsid w:val="242332EA"/>
    <w:rsid w:val="248F6BD1"/>
    <w:rsid w:val="24E47DC8"/>
    <w:rsid w:val="255F433F"/>
    <w:rsid w:val="25DD396C"/>
    <w:rsid w:val="25E76599"/>
    <w:rsid w:val="261956B5"/>
    <w:rsid w:val="2674755D"/>
    <w:rsid w:val="26C64400"/>
    <w:rsid w:val="274F2647"/>
    <w:rsid w:val="28642123"/>
    <w:rsid w:val="28C22735"/>
    <w:rsid w:val="29C916E9"/>
    <w:rsid w:val="2B2D01DB"/>
    <w:rsid w:val="2DDF4725"/>
    <w:rsid w:val="2FFF10AF"/>
    <w:rsid w:val="30336FAA"/>
    <w:rsid w:val="30531B27"/>
    <w:rsid w:val="31A83B50"/>
    <w:rsid w:val="3260395B"/>
    <w:rsid w:val="338D7F05"/>
    <w:rsid w:val="339E6894"/>
    <w:rsid w:val="33C543BD"/>
    <w:rsid w:val="34CA155F"/>
    <w:rsid w:val="35D036BB"/>
    <w:rsid w:val="362B62C1"/>
    <w:rsid w:val="36561BED"/>
    <w:rsid w:val="371E4021"/>
    <w:rsid w:val="37F459B9"/>
    <w:rsid w:val="38A8582F"/>
    <w:rsid w:val="38CE5AC2"/>
    <w:rsid w:val="394E6C03"/>
    <w:rsid w:val="39AE63D1"/>
    <w:rsid w:val="39EB6D7F"/>
    <w:rsid w:val="3AE3337B"/>
    <w:rsid w:val="3B2D45F6"/>
    <w:rsid w:val="3CC6179F"/>
    <w:rsid w:val="3E5C591E"/>
    <w:rsid w:val="3E693B97"/>
    <w:rsid w:val="3EFA3601"/>
    <w:rsid w:val="4069506F"/>
    <w:rsid w:val="408D0011"/>
    <w:rsid w:val="441F3676"/>
    <w:rsid w:val="461B45AA"/>
    <w:rsid w:val="464A2500"/>
    <w:rsid w:val="46E252F4"/>
    <w:rsid w:val="483D056E"/>
    <w:rsid w:val="490270C2"/>
    <w:rsid w:val="495042D1"/>
    <w:rsid w:val="4A5751EC"/>
    <w:rsid w:val="4ABF170F"/>
    <w:rsid w:val="4AC87E1A"/>
    <w:rsid w:val="4BEE04DA"/>
    <w:rsid w:val="4E4D41B2"/>
    <w:rsid w:val="4EA74993"/>
    <w:rsid w:val="4EC70B92"/>
    <w:rsid w:val="4F7960FA"/>
    <w:rsid w:val="4FE1085E"/>
    <w:rsid w:val="505C17AE"/>
    <w:rsid w:val="516E3547"/>
    <w:rsid w:val="518533AE"/>
    <w:rsid w:val="51896ED1"/>
    <w:rsid w:val="51B00003"/>
    <w:rsid w:val="530323B4"/>
    <w:rsid w:val="536270DB"/>
    <w:rsid w:val="53EE30C2"/>
    <w:rsid w:val="541540E7"/>
    <w:rsid w:val="55450A62"/>
    <w:rsid w:val="55772042"/>
    <w:rsid w:val="55CE19F3"/>
    <w:rsid w:val="5612303A"/>
    <w:rsid w:val="57E23235"/>
    <w:rsid w:val="582C5F09"/>
    <w:rsid w:val="59301A29"/>
    <w:rsid w:val="59462FFB"/>
    <w:rsid w:val="59701E26"/>
    <w:rsid w:val="5BEC7E8A"/>
    <w:rsid w:val="5D867E6A"/>
    <w:rsid w:val="5DC42740"/>
    <w:rsid w:val="5DE828D3"/>
    <w:rsid w:val="5DF63241"/>
    <w:rsid w:val="603442D1"/>
    <w:rsid w:val="604E1113"/>
    <w:rsid w:val="60B314C6"/>
    <w:rsid w:val="61693D2A"/>
    <w:rsid w:val="61A47A93"/>
    <w:rsid w:val="62347E94"/>
    <w:rsid w:val="63582C03"/>
    <w:rsid w:val="639808F7"/>
    <w:rsid w:val="64767409"/>
    <w:rsid w:val="64AD3F2E"/>
    <w:rsid w:val="650413B3"/>
    <w:rsid w:val="66B6356E"/>
    <w:rsid w:val="680622D3"/>
    <w:rsid w:val="688F4C8C"/>
    <w:rsid w:val="6894168D"/>
    <w:rsid w:val="689D41B3"/>
    <w:rsid w:val="68C61A62"/>
    <w:rsid w:val="68FB795E"/>
    <w:rsid w:val="690D21ED"/>
    <w:rsid w:val="6AD00323"/>
    <w:rsid w:val="6AE85CC0"/>
    <w:rsid w:val="6B2E0952"/>
    <w:rsid w:val="6B6E0360"/>
    <w:rsid w:val="6C084428"/>
    <w:rsid w:val="6C630426"/>
    <w:rsid w:val="6D4A3A7F"/>
    <w:rsid w:val="6D665378"/>
    <w:rsid w:val="6E2214E9"/>
    <w:rsid w:val="6E4C28EF"/>
    <w:rsid w:val="6E934195"/>
    <w:rsid w:val="6F2443B7"/>
    <w:rsid w:val="6F3911E0"/>
    <w:rsid w:val="6F99554D"/>
    <w:rsid w:val="71A60683"/>
    <w:rsid w:val="74213FF1"/>
    <w:rsid w:val="75C13CDD"/>
    <w:rsid w:val="75C80BC8"/>
    <w:rsid w:val="7739288E"/>
    <w:rsid w:val="77756B2D"/>
    <w:rsid w:val="77F063E0"/>
    <w:rsid w:val="78C655F6"/>
    <w:rsid w:val="79053EE1"/>
    <w:rsid w:val="79A213E8"/>
    <w:rsid w:val="7AAD21FD"/>
    <w:rsid w:val="7BBA5DA9"/>
    <w:rsid w:val="7C920181"/>
    <w:rsid w:val="7E7446AF"/>
    <w:rsid w:val="7EC84BB3"/>
    <w:rsid w:val="7FDC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0" w:line="360" w:lineRule="auto"/>
      <w:ind w:left="176" w:leftChars="0" w:firstLine="420" w:firstLineChars="200"/>
    </w:pPr>
    <w:rPr>
      <w:rFonts w:ascii="仿宋" w:eastAsia="仿宋"/>
      <w:sz w:val="24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3218</Words>
  <Characters>3663</Characters>
  <Lines>17</Lines>
  <Paragraphs>4</Paragraphs>
  <TotalTime>6</TotalTime>
  <ScaleCrop>false</ScaleCrop>
  <LinksUpToDate>false</LinksUpToDate>
  <CharactersWithSpaces>3754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2023-03-02T08:37:00Z</dcterms:created>
  <dc:creator>王胜辉</dc:creator>
  <cp:lastModifiedBy>Administrator</cp:lastModifiedBy>
  <dcterms:modified xsi:type="dcterms:W3CDTF">2023-05-17T00:21:25Z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29AC8E76C1DD4AB4A5752D154D2A68B5</vt:lpwstr>
  </property>
</Properties>
</file>