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color w:val="FF0000"/>
          <w:w w:val="58"/>
          <w:sz w:val="44"/>
          <w:szCs w:val="44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tLeast"/>
        <w:jc w:val="center"/>
        <w:rPr>
          <w:rFonts w:ascii="楷体" w:hAnsi="楷体" w:eastAsia="楷体"/>
          <w:color w:val="FF0000"/>
          <w:sz w:val="70"/>
          <w:szCs w:val="70"/>
        </w:rPr>
      </w:pPr>
      <w:r>
        <w:rPr>
          <w:rFonts w:ascii="黑体" w:hAnsi="黑体" w:eastAsia="黑体" w:cs="黑体"/>
          <w:color w:val="FF0000"/>
          <w:spacing w:val="-23"/>
          <w:w w:val="66"/>
          <w:sz w:val="132"/>
          <w:szCs w:val="136"/>
        </w:rPr>
        <w:t>中采建培教育技术院文件</w:t>
      </w:r>
    </w:p>
    <w:p>
      <w:pPr>
        <w:widowControl/>
        <w:spacing w:line="380" w:lineRule="exact"/>
        <w:ind w:firstLine="3600" w:firstLineChars="1200"/>
        <w:jc w:val="left"/>
        <w:rPr>
          <w:rFonts w:ascii="仿宋" w:hAnsi="仿宋" w:cs="宋体"/>
          <w:color w:val="00000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中采建培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〔</w:t>
      </w: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2023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〕</w:t>
      </w:r>
      <w:r>
        <w:rPr>
          <w:rFonts w:hint="eastAsia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号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仿宋" w:hAnsi="仿宋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-170180</wp:posOffset>
                </wp:positionH>
                <wp:positionV relativeFrom="paragraph">
                  <wp:posOffset>93980</wp:posOffset>
                </wp:positionV>
                <wp:extent cx="6648450" cy="25400"/>
                <wp:effectExtent l="0" t="13970" r="6350" b="2413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54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3.4pt;margin-top:7.4pt;height:2pt;width:523.5pt;mso-position-horizontal-relative:margin;z-index:251659264;mso-width-relative:page;mso-height-relative:page;" filled="f" stroked="t" coordsize="21600,21600" o:gfxdata="UEsDBAoAAAAAAIdO4kAAAAAAAAAAAAAAAAAEAAAAZHJzL1BLAwQUAAAACACHTuJA+M79ZtcAAAAK&#10;AQAADwAAAGRycy9kb3ducmV2LnhtbE2PzWrDMBCE74W+g9hCb4kUU4JxLYe0tLdCqfuTq2JtLBNr&#10;ZSzFcd6+m1N72l1mmP2m3My+FxOOsQukYbVUIJCaYDtqNXx9vi5yEDEZsqYPhBouGGFT3d6UprDh&#10;TB841akVHEKxMBpcSkMhZWwcehOXYUBi7RBGbxKfYyvtaM4c7nuZKbWW3nTEH5wZ8Nlhc6xPXsP8&#10;k2/d7i09vYTvd3ecd7WfsovW93cr9Qgi4Zz+zHDFZ3SomGkfTmSj6DUssjWjJxYeeF4NKlMZiD1v&#10;eQ6yKuX/CtUvUEsDBBQAAAAIAIdO4kBwkT443gEAAJ0DAAAOAAAAZHJzL2Uyb0RvYy54bWytU0uO&#10;EzEQ3SNxB8t70p2QhKiVziwmhA2CSMABKv50W/JPtkknl+ACSOxgxZI9t5nhGJSdTGaADUL0wl1l&#10;l1/Ve/16eXUwmuxFiMrZlo5HNSXCMseV7Vr67u3myYKSmMBy0M6Klh5FpFerx4+Wg2/ExPVOcxEI&#10;gtjYDL6lfUq+qarIemEgjpwXFg+lCwYSpqGreIAB0Y2uJnU9rwYXuA+OiRhxd306pKuCL6Vg6bWU&#10;USSiW4qzpbKGsu7yWq2W0HQBfK/YeQz4hykMKItNL1BrSEDeB/UHlFEsuOhkGjFnKielYqJwQDbj&#10;+jc2b3rwonBBcaK/yBT/Hyx7td8GonhLn1JiweAnuv347ebD5x/fP+F6+/ULGWeRBh8brL2223DO&#10;ot+GzPggg8lv5EIORdjjRVhxSITh5nw+XUxnqD/Ds8lsWhfhq/vLPsT0QjhDctBSrWzmDQ3sX8aE&#10;DbH0riRva0sGBFrMns0QE9A3UkPC0HhkEm1XLkenFd8orfOVGLrdtQ5kD+iEzabGJ/NC4F/Kcpc1&#10;xP5UV45OHukF8OeWk3T0qJFFM9M8gxGcEi3Q+zlCQGgSKP03ldha23xBFJ+eiWahT9LmaOf4sShe&#10;5Qw9UCY++zWb7GGO8cO/a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M79ZtcAAAAKAQAADwAA&#10;AAAAAAABACAAAAAiAAAAZHJzL2Rvd25yZXYueG1sUEsBAhQAFAAAAAgAh07iQHCRPjjeAQAAnQ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关于举办“《新清标(征)》与</w:t>
      </w:r>
      <w:r>
        <w:rPr>
          <w:rFonts w:ascii="宋体" w:hAnsi="宋体" w:eastAsia="宋体" w:cs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总计规</w:t>
      </w:r>
      <w:r>
        <w:rPr>
          <w:rFonts w:ascii="宋体" w:hAnsi="宋体" w:eastAsia="宋体" w:cs="宋体"/>
          <w:b/>
          <w:bCs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解读、工程计价与结算实务、E</w:t>
      </w:r>
      <w:r>
        <w:rPr>
          <w:rFonts w:ascii="宋体" w:hAnsi="宋体" w:eastAsia="宋体" w:cs="宋体"/>
          <w:b/>
          <w:bCs/>
          <w:sz w:val="28"/>
          <w:szCs w:val="28"/>
        </w:rPr>
        <w:t>PC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计价难题破解与</w:t>
      </w:r>
      <w:r>
        <w:rPr>
          <w:rFonts w:ascii="宋体" w:hAnsi="宋体" w:eastAsia="宋体" w:cs="宋体"/>
          <w:b/>
          <w:bCs/>
          <w:sz w:val="28"/>
          <w:szCs w:val="28"/>
        </w:rPr>
        <w:t>案例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仿宋"/>
          <w:b/>
          <w:bCs/>
          <w:kern w:val="0"/>
          <w:sz w:val="28"/>
          <w:szCs w:val="28"/>
          <w:shd w:val="clear" w:color="auto" w:fill="FFFFFF"/>
        </w:rPr>
        <w:t>EPC工程总承包项目全过程（立项、招采、建设）等阶段疑难问题解析</w:t>
      </w:r>
      <w:r>
        <w:rPr>
          <w:rFonts w:hint="eastAsia" w:ascii="宋体" w:hAnsi="宋体" w:eastAsia="宋体" w:cs="宋体"/>
          <w:b/>
          <w:sz w:val="28"/>
          <w:szCs w:val="28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培训班的通知</w:t>
      </w:r>
    </w:p>
    <w:p>
      <w:pPr>
        <w:ind w:firstLine="480" w:firstLineChars="200"/>
        <w:rPr>
          <w:sz w:val="24"/>
        </w:rPr>
      </w:pPr>
    </w:p>
    <w:p>
      <w:pPr>
        <w:spacing w:line="33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各有关单位：  </w:t>
      </w:r>
    </w:p>
    <w:p>
      <w:pPr>
        <w:spacing w:line="330" w:lineRule="exact"/>
        <w:ind w:firstLine="560" w:firstLineChars="200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目前我国EPC投资控制和计价管理呈现 “粗放”态势，很多项目 “据实结算”，突破</w:t>
      </w:r>
      <w:r>
        <w:rPr>
          <w:rFonts w:ascii="华文仿宋" w:hAnsi="华文仿宋" w:eastAsia="华文仿宋"/>
          <w:bCs/>
          <w:sz w:val="28"/>
          <w:szCs w:val="28"/>
        </w:rPr>
        <w:t>了</w:t>
      </w:r>
      <w:r>
        <w:rPr>
          <w:rFonts w:hint="eastAsia" w:ascii="华文仿宋" w:hAnsi="华文仿宋" w:eastAsia="华文仿宋"/>
          <w:bCs/>
          <w:sz w:val="28"/>
          <w:szCs w:val="28"/>
        </w:rPr>
        <w:t>“</w:t>
      </w:r>
      <w:r>
        <w:rPr>
          <w:rFonts w:ascii="华文仿宋" w:hAnsi="华文仿宋" w:eastAsia="华文仿宋"/>
          <w:bCs/>
          <w:sz w:val="28"/>
          <w:szCs w:val="28"/>
        </w:rPr>
        <w:t>限额</w:t>
      </w:r>
      <w:r>
        <w:rPr>
          <w:rFonts w:hint="eastAsia" w:ascii="华文仿宋" w:hAnsi="华文仿宋" w:eastAsia="华文仿宋"/>
          <w:bCs/>
          <w:sz w:val="28"/>
          <w:szCs w:val="28"/>
        </w:rPr>
        <w:t>”，造成投资控制的</w:t>
      </w:r>
      <w:r>
        <w:rPr>
          <w:rFonts w:ascii="华文仿宋" w:hAnsi="华文仿宋" w:eastAsia="华文仿宋"/>
          <w:bCs/>
          <w:sz w:val="28"/>
          <w:szCs w:val="28"/>
        </w:rPr>
        <w:t>被动</w:t>
      </w:r>
      <w:r>
        <w:rPr>
          <w:rFonts w:hint="eastAsia" w:ascii="华文仿宋" w:hAnsi="华文仿宋" w:eastAsia="华文仿宋"/>
          <w:bCs/>
          <w:sz w:val="28"/>
          <w:szCs w:val="28"/>
        </w:rPr>
        <w:t>。《建设工程总承包计价规范》（中价协〔2022〕</w:t>
      </w:r>
      <w:r>
        <w:rPr>
          <w:rFonts w:ascii="华文仿宋" w:hAnsi="华文仿宋" w:eastAsia="华文仿宋"/>
          <w:bCs/>
          <w:sz w:val="28"/>
          <w:szCs w:val="28"/>
        </w:rPr>
        <w:t>53</w:t>
      </w:r>
      <w:r>
        <w:rPr>
          <w:rFonts w:hint="eastAsia" w:ascii="华文仿宋" w:hAnsi="华文仿宋" w:eastAsia="华文仿宋"/>
          <w:bCs/>
          <w:sz w:val="28"/>
          <w:szCs w:val="28"/>
        </w:rPr>
        <w:t>号）的出台施行，填补</w:t>
      </w:r>
      <w:r>
        <w:rPr>
          <w:rFonts w:ascii="华文仿宋" w:hAnsi="华文仿宋" w:eastAsia="华文仿宋"/>
          <w:bCs/>
          <w:sz w:val="28"/>
          <w:szCs w:val="28"/>
        </w:rPr>
        <w:t>了行业标准</w:t>
      </w:r>
      <w:r>
        <w:rPr>
          <w:rFonts w:hint="eastAsia" w:ascii="华文仿宋" w:hAnsi="华文仿宋" w:eastAsia="华文仿宋"/>
          <w:bCs/>
          <w:sz w:val="28"/>
          <w:szCs w:val="28"/>
        </w:rPr>
        <w:t>的空白</w:t>
      </w:r>
      <w:r>
        <w:rPr>
          <w:rFonts w:ascii="华文仿宋" w:hAnsi="华文仿宋" w:eastAsia="华文仿宋"/>
          <w:bCs/>
          <w:sz w:val="28"/>
          <w:szCs w:val="28"/>
        </w:rPr>
        <w:t>。《</w:t>
      </w:r>
      <w:r>
        <w:rPr>
          <w:rFonts w:hint="eastAsia" w:ascii="华文仿宋" w:hAnsi="华文仿宋" w:eastAsia="华文仿宋"/>
          <w:bCs/>
          <w:sz w:val="28"/>
          <w:szCs w:val="28"/>
        </w:rPr>
        <w:t>总</w:t>
      </w:r>
      <w:r>
        <w:rPr>
          <w:rFonts w:ascii="华文仿宋" w:hAnsi="华文仿宋" w:eastAsia="华文仿宋"/>
          <w:bCs/>
          <w:sz w:val="28"/>
          <w:szCs w:val="28"/>
        </w:rPr>
        <w:t>计规》</w:t>
      </w:r>
      <w:r>
        <w:rPr>
          <w:rFonts w:hint="eastAsia" w:ascii="华文仿宋" w:hAnsi="华文仿宋" w:eastAsia="华文仿宋"/>
          <w:bCs/>
          <w:sz w:val="28"/>
          <w:szCs w:val="28"/>
        </w:rPr>
        <w:t>在</w:t>
      </w:r>
      <w:r>
        <w:rPr>
          <w:rFonts w:ascii="华文仿宋" w:hAnsi="华文仿宋" w:eastAsia="华文仿宋"/>
          <w:bCs/>
          <w:sz w:val="28"/>
          <w:szCs w:val="28"/>
        </w:rPr>
        <w:t>总承包模式条件、总承包计价方式、总承包计价风险</w:t>
      </w:r>
      <w:r>
        <w:rPr>
          <w:rFonts w:hint="eastAsia" w:ascii="华文仿宋" w:hAnsi="华文仿宋" w:eastAsia="华文仿宋"/>
          <w:bCs/>
          <w:sz w:val="28"/>
          <w:szCs w:val="28"/>
        </w:rPr>
        <w:t>、</w:t>
      </w:r>
      <w:r>
        <w:rPr>
          <w:rFonts w:ascii="华文仿宋" w:hAnsi="华文仿宋" w:eastAsia="华文仿宋"/>
          <w:bCs/>
          <w:sz w:val="28"/>
          <w:szCs w:val="28"/>
        </w:rPr>
        <w:t>总承包变更与签证以及总承包</w:t>
      </w:r>
      <w:r>
        <w:rPr>
          <w:rFonts w:hint="eastAsia" w:ascii="华文仿宋" w:hAnsi="华文仿宋" w:eastAsia="华文仿宋"/>
          <w:bCs/>
          <w:sz w:val="28"/>
          <w:szCs w:val="28"/>
        </w:rPr>
        <w:t>结算</w:t>
      </w:r>
      <w:r>
        <w:rPr>
          <w:rFonts w:ascii="华文仿宋" w:hAnsi="华文仿宋" w:eastAsia="华文仿宋"/>
          <w:bCs/>
          <w:sz w:val="28"/>
          <w:szCs w:val="28"/>
        </w:rPr>
        <w:t>支付</w:t>
      </w:r>
      <w:r>
        <w:rPr>
          <w:rFonts w:hint="eastAsia" w:ascii="华文仿宋" w:hAnsi="华文仿宋" w:eastAsia="华文仿宋"/>
          <w:bCs/>
          <w:sz w:val="28"/>
          <w:szCs w:val="28"/>
        </w:rPr>
        <w:t>等</w:t>
      </w:r>
      <w:r>
        <w:rPr>
          <w:rFonts w:ascii="华文仿宋" w:hAnsi="华文仿宋" w:eastAsia="华文仿宋"/>
          <w:bCs/>
          <w:sz w:val="28"/>
          <w:szCs w:val="28"/>
        </w:rPr>
        <w:t>方面</w:t>
      </w:r>
      <w:r>
        <w:rPr>
          <w:rFonts w:hint="eastAsia" w:ascii="华文仿宋" w:hAnsi="华文仿宋" w:eastAsia="华文仿宋"/>
          <w:bCs/>
          <w:sz w:val="28"/>
          <w:szCs w:val="28"/>
        </w:rPr>
        <w:t>作出</w:t>
      </w:r>
      <w:r>
        <w:rPr>
          <w:rFonts w:ascii="华文仿宋" w:hAnsi="华文仿宋" w:eastAsia="华文仿宋"/>
          <w:bCs/>
          <w:sz w:val="28"/>
          <w:szCs w:val="28"/>
        </w:rPr>
        <w:t>了</w:t>
      </w:r>
      <w:r>
        <w:rPr>
          <w:rFonts w:hint="eastAsia" w:ascii="华文仿宋" w:hAnsi="华文仿宋" w:eastAsia="华文仿宋"/>
          <w:bCs/>
          <w:sz w:val="28"/>
          <w:szCs w:val="28"/>
        </w:rPr>
        <w:t>针对性</w:t>
      </w:r>
      <w:r>
        <w:rPr>
          <w:rFonts w:ascii="华文仿宋" w:hAnsi="华文仿宋" w:eastAsia="华文仿宋"/>
          <w:bCs/>
          <w:sz w:val="28"/>
          <w:szCs w:val="28"/>
        </w:rPr>
        <w:t>的规定</w:t>
      </w:r>
      <w:r>
        <w:rPr>
          <w:rFonts w:hint="eastAsia" w:ascii="华文仿宋" w:hAnsi="华文仿宋" w:eastAsia="华文仿宋"/>
          <w:bCs/>
          <w:sz w:val="28"/>
          <w:szCs w:val="28"/>
        </w:rPr>
        <w:t>，</w:t>
      </w:r>
      <w:r>
        <w:rPr>
          <w:rFonts w:ascii="华文仿宋" w:hAnsi="华文仿宋" w:eastAsia="华文仿宋"/>
          <w:bCs/>
          <w:sz w:val="28"/>
          <w:szCs w:val="28"/>
        </w:rPr>
        <w:t>为</w:t>
      </w:r>
      <w:r>
        <w:rPr>
          <w:rFonts w:hint="eastAsia" w:ascii="华文仿宋" w:hAnsi="华文仿宋" w:eastAsia="华文仿宋"/>
          <w:bCs/>
          <w:sz w:val="28"/>
          <w:szCs w:val="28"/>
        </w:rPr>
        <w:t>EPC造价管理提供了有效</w:t>
      </w:r>
      <w:r>
        <w:rPr>
          <w:rFonts w:ascii="华文仿宋" w:hAnsi="华文仿宋" w:eastAsia="华文仿宋"/>
          <w:bCs/>
          <w:sz w:val="28"/>
          <w:szCs w:val="28"/>
        </w:rPr>
        <w:t>的</w:t>
      </w:r>
      <w:r>
        <w:rPr>
          <w:rFonts w:hint="eastAsia" w:ascii="华文仿宋" w:hAnsi="华文仿宋" w:eastAsia="华文仿宋"/>
          <w:bCs/>
          <w:sz w:val="28"/>
          <w:szCs w:val="28"/>
        </w:rPr>
        <w:t>依据。但</w:t>
      </w:r>
      <w:r>
        <w:rPr>
          <w:rFonts w:ascii="华文仿宋" w:hAnsi="华文仿宋" w:eastAsia="华文仿宋"/>
          <w:bCs/>
          <w:sz w:val="28"/>
          <w:szCs w:val="28"/>
        </w:rPr>
        <w:t>在合同形式选择</w:t>
      </w:r>
      <w:r>
        <w:rPr>
          <w:rFonts w:hint="eastAsia" w:ascii="华文仿宋" w:hAnsi="华文仿宋" w:eastAsia="华文仿宋"/>
          <w:bCs/>
          <w:sz w:val="28"/>
          <w:szCs w:val="28"/>
        </w:rPr>
        <w:t>(统一</w:t>
      </w:r>
      <w:r>
        <w:rPr>
          <w:rFonts w:ascii="华文仿宋" w:hAnsi="华文仿宋" w:eastAsia="华文仿宋"/>
          <w:bCs/>
          <w:sz w:val="28"/>
          <w:szCs w:val="28"/>
        </w:rPr>
        <w:t>固定总价</w:t>
      </w:r>
      <w:r>
        <w:rPr>
          <w:rFonts w:hint="eastAsia" w:ascii="华文仿宋" w:hAnsi="华文仿宋" w:eastAsia="华文仿宋"/>
          <w:bCs/>
          <w:sz w:val="28"/>
          <w:szCs w:val="28"/>
        </w:rPr>
        <w:t>)</w:t>
      </w:r>
      <w:r>
        <w:rPr>
          <w:rFonts w:ascii="华文仿宋" w:hAnsi="华文仿宋" w:eastAsia="华文仿宋"/>
          <w:bCs/>
          <w:sz w:val="28"/>
          <w:szCs w:val="28"/>
        </w:rPr>
        <w:t>、评标定标机制</w:t>
      </w:r>
      <w:r>
        <w:rPr>
          <w:rFonts w:hint="eastAsia" w:ascii="华文仿宋" w:hAnsi="华文仿宋" w:eastAsia="华文仿宋"/>
          <w:bCs/>
          <w:sz w:val="28"/>
          <w:szCs w:val="28"/>
        </w:rPr>
        <w:t>（标底</w:t>
      </w:r>
      <w:r>
        <w:rPr>
          <w:rFonts w:ascii="华文仿宋" w:hAnsi="华文仿宋" w:eastAsia="华文仿宋"/>
          <w:bCs/>
          <w:sz w:val="28"/>
          <w:szCs w:val="28"/>
        </w:rPr>
        <w:t>使用</w:t>
      </w:r>
      <w:r>
        <w:rPr>
          <w:rFonts w:hint="eastAsia" w:ascii="华文仿宋" w:hAnsi="华文仿宋" w:eastAsia="华文仿宋"/>
          <w:bCs/>
          <w:sz w:val="28"/>
          <w:szCs w:val="28"/>
        </w:rPr>
        <w:t>）、指数法</w:t>
      </w:r>
      <w:r>
        <w:rPr>
          <w:rFonts w:ascii="华文仿宋" w:hAnsi="华文仿宋" w:eastAsia="华文仿宋"/>
          <w:bCs/>
          <w:sz w:val="28"/>
          <w:szCs w:val="28"/>
        </w:rPr>
        <w:t>调</w:t>
      </w:r>
      <w:r>
        <w:rPr>
          <w:rFonts w:hint="eastAsia" w:ascii="华文仿宋" w:hAnsi="华文仿宋" w:eastAsia="华文仿宋"/>
          <w:bCs/>
          <w:sz w:val="28"/>
          <w:szCs w:val="28"/>
        </w:rPr>
        <w:t>价</w:t>
      </w:r>
      <w:r>
        <w:rPr>
          <w:rFonts w:ascii="华文仿宋" w:hAnsi="华文仿宋" w:eastAsia="华文仿宋"/>
          <w:bCs/>
          <w:sz w:val="28"/>
          <w:szCs w:val="28"/>
        </w:rPr>
        <w:t>差</w:t>
      </w:r>
      <w:r>
        <w:rPr>
          <w:rFonts w:hint="eastAsia" w:ascii="华文仿宋" w:hAnsi="华文仿宋" w:eastAsia="华文仿宋"/>
          <w:bCs/>
          <w:sz w:val="28"/>
          <w:szCs w:val="28"/>
        </w:rPr>
        <w:t>、</w:t>
      </w:r>
      <w:r>
        <w:rPr>
          <w:rFonts w:ascii="华文仿宋" w:hAnsi="华文仿宋" w:eastAsia="华文仿宋"/>
          <w:bCs/>
          <w:sz w:val="28"/>
          <w:szCs w:val="28"/>
        </w:rPr>
        <w:t>包干价格的</w:t>
      </w:r>
      <w:r>
        <w:rPr>
          <w:rFonts w:hint="eastAsia" w:ascii="华文仿宋" w:hAnsi="华文仿宋" w:eastAsia="华文仿宋"/>
          <w:bCs/>
          <w:sz w:val="28"/>
          <w:szCs w:val="28"/>
        </w:rPr>
        <w:t>审计</w:t>
      </w:r>
      <w:r>
        <w:rPr>
          <w:rFonts w:ascii="华文仿宋" w:hAnsi="华文仿宋" w:eastAsia="华文仿宋"/>
          <w:bCs/>
          <w:sz w:val="28"/>
          <w:szCs w:val="28"/>
        </w:rPr>
        <w:t>风险</w:t>
      </w:r>
      <w:r>
        <w:rPr>
          <w:rFonts w:hint="eastAsia" w:ascii="华文仿宋" w:hAnsi="华文仿宋" w:eastAsia="华文仿宋"/>
          <w:bCs/>
          <w:sz w:val="28"/>
          <w:szCs w:val="28"/>
        </w:rPr>
        <w:t>等</w:t>
      </w:r>
      <w:r>
        <w:rPr>
          <w:rFonts w:ascii="华文仿宋" w:hAnsi="华文仿宋" w:eastAsia="华文仿宋"/>
          <w:bCs/>
          <w:sz w:val="28"/>
          <w:szCs w:val="28"/>
        </w:rPr>
        <w:t>方面</w:t>
      </w:r>
      <w:r>
        <w:rPr>
          <w:rFonts w:hint="eastAsia" w:ascii="华文仿宋" w:hAnsi="华文仿宋" w:eastAsia="华文仿宋"/>
          <w:bCs/>
          <w:sz w:val="28"/>
          <w:szCs w:val="28"/>
        </w:rPr>
        <w:t>，</w:t>
      </w:r>
      <w:r>
        <w:rPr>
          <w:rFonts w:ascii="华文仿宋" w:hAnsi="华文仿宋" w:eastAsia="华文仿宋"/>
          <w:bCs/>
          <w:sz w:val="28"/>
          <w:szCs w:val="28"/>
        </w:rPr>
        <w:t>《</w:t>
      </w:r>
      <w:r>
        <w:rPr>
          <w:rFonts w:hint="eastAsia" w:ascii="华文仿宋" w:hAnsi="华文仿宋" w:eastAsia="华文仿宋"/>
          <w:bCs/>
          <w:sz w:val="28"/>
          <w:szCs w:val="28"/>
        </w:rPr>
        <w:t>总</w:t>
      </w:r>
      <w:r>
        <w:rPr>
          <w:rFonts w:ascii="华文仿宋" w:hAnsi="华文仿宋" w:eastAsia="华文仿宋"/>
          <w:bCs/>
          <w:sz w:val="28"/>
          <w:szCs w:val="28"/>
        </w:rPr>
        <w:t>计</w:t>
      </w:r>
      <w:r>
        <w:rPr>
          <w:rFonts w:hint="eastAsia" w:ascii="华文仿宋" w:hAnsi="华文仿宋" w:eastAsia="华文仿宋"/>
          <w:bCs/>
          <w:sz w:val="28"/>
          <w:szCs w:val="28"/>
        </w:rPr>
        <w:t>规</w:t>
      </w:r>
      <w:r>
        <w:rPr>
          <w:rFonts w:ascii="华文仿宋" w:hAnsi="华文仿宋" w:eastAsia="华文仿宋"/>
          <w:bCs/>
          <w:sz w:val="28"/>
          <w:szCs w:val="28"/>
        </w:rPr>
        <w:t>》</w:t>
      </w:r>
      <w:r>
        <w:rPr>
          <w:rFonts w:hint="eastAsia" w:ascii="华文仿宋" w:hAnsi="华文仿宋" w:eastAsia="华文仿宋"/>
          <w:bCs/>
          <w:sz w:val="28"/>
          <w:szCs w:val="28"/>
        </w:rPr>
        <w:t>的</w:t>
      </w:r>
      <w:r>
        <w:rPr>
          <w:rFonts w:ascii="华文仿宋" w:hAnsi="华文仿宋" w:eastAsia="华文仿宋"/>
          <w:bCs/>
          <w:sz w:val="28"/>
          <w:szCs w:val="28"/>
        </w:rPr>
        <w:t>规定与</w:t>
      </w:r>
      <w:r>
        <w:rPr>
          <w:rFonts w:hint="eastAsia" w:ascii="华文仿宋" w:hAnsi="华文仿宋" w:eastAsia="华文仿宋"/>
          <w:bCs/>
          <w:sz w:val="28"/>
          <w:szCs w:val="28"/>
        </w:rPr>
        <w:t>总承包计价实践存在</w:t>
      </w:r>
      <w:r>
        <w:rPr>
          <w:rFonts w:ascii="华文仿宋" w:hAnsi="华文仿宋" w:eastAsia="华文仿宋"/>
          <w:bCs/>
          <w:sz w:val="28"/>
          <w:szCs w:val="28"/>
        </w:rPr>
        <w:t>脱节</w:t>
      </w:r>
      <w:r>
        <w:rPr>
          <w:rFonts w:hint="eastAsia" w:ascii="华文仿宋" w:hAnsi="华文仿宋" w:eastAsia="华文仿宋"/>
          <w:bCs/>
          <w:sz w:val="28"/>
          <w:szCs w:val="28"/>
        </w:rPr>
        <w:t>现象</w:t>
      </w:r>
      <w:r>
        <w:rPr>
          <w:rFonts w:ascii="华文仿宋" w:hAnsi="华文仿宋" w:eastAsia="华文仿宋"/>
          <w:bCs/>
          <w:sz w:val="28"/>
          <w:szCs w:val="28"/>
        </w:rPr>
        <w:t>，</w:t>
      </w:r>
      <w:r>
        <w:rPr>
          <w:rFonts w:hint="eastAsia" w:ascii="华文仿宋" w:hAnsi="华文仿宋" w:eastAsia="华文仿宋"/>
          <w:bCs/>
          <w:sz w:val="28"/>
          <w:szCs w:val="28"/>
        </w:rPr>
        <w:t>仍需</w:t>
      </w:r>
      <w:r>
        <w:rPr>
          <w:rFonts w:ascii="华文仿宋" w:hAnsi="华文仿宋" w:eastAsia="华文仿宋"/>
          <w:bCs/>
          <w:sz w:val="28"/>
          <w:szCs w:val="28"/>
        </w:rPr>
        <w:t>通过具体</w:t>
      </w:r>
      <w:r>
        <w:rPr>
          <w:rFonts w:hint="eastAsia" w:ascii="华文仿宋" w:hAnsi="华文仿宋" w:eastAsia="华文仿宋"/>
          <w:bCs/>
          <w:sz w:val="28"/>
          <w:szCs w:val="28"/>
        </w:rPr>
        <w:t>项目</w:t>
      </w:r>
      <w:r>
        <w:rPr>
          <w:rFonts w:ascii="华文仿宋" w:hAnsi="华文仿宋" w:eastAsia="华文仿宋"/>
          <w:bCs/>
          <w:sz w:val="28"/>
          <w:szCs w:val="28"/>
        </w:rPr>
        <w:t>招标合同</w:t>
      </w:r>
      <w:r>
        <w:rPr>
          <w:rFonts w:hint="eastAsia" w:ascii="华文仿宋" w:hAnsi="华文仿宋" w:eastAsia="华文仿宋"/>
          <w:bCs/>
          <w:sz w:val="28"/>
          <w:szCs w:val="28"/>
        </w:rPr>
        <w:t>文件</w:t>
      </w:r>
      <w:r>
        <w:rPr>
          <w:rFonts w:ascii="华文仿宋" w:hAnsi="华文仿宋" w:eastAsia="华文仿宋"/>
          <w:bCs/>
          <w:sz w:val="28"/>
          <w:szCs w:val="28"/>
        </w:rPr>
        <w:t>加以完善。</w:t>
      </w:r>
    </w:p>
    <w:p>
      <w:pPr>
        <w:spacing w:line="420" w:lineRule="exact"/>
        <w:ind w:firstLine="560" w:firstLineChars="200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如何识别EPC工程总承包项目立项、招采、建设等阶段风险防控及项目合规性审查。同时，对EPC项目合同履约风险把控、工程造价、审计等阶段各个节点存在的纠纷及隐患点、涉法行政诉讼案件如何进行有效处理。以达到提升政府及企业项目投资及项目执行管控能力，适应新时期下项目的发展需求。</w:t>
      </w:r>
    </w:p>
    <w:p>
      <w:pPr>
        <w:widowControl/>
        <w:spacing w:line="34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为帮助政府职能部门、协会、建设单位、设计单位、施工单位、全过程项目咨询单位等相关人员学习理解计价、总包和咨询领域系列规范、行业新政策，厘清实务中重点、难点、疑点、焦点等专业共性问题，全面提高项目管理水平。决定举办“《新清标(征)》与《总计规》解读、工程计价与结算实务、EPC计价难题破解与案例、EPC工程总承包项目全过程（立项、招采、建设）等阶段疑难问题解析”</w:t>
      </w:r>
      <w:r>
        <w:rPr>
          <w:rFonts w:hint="eastAsia" w:ascii="仿宋" w:hAnsi="仿宋" w:cs="宋体"/>
          <w:sz w:val="28"/>
          <w:szCs w:val="28"/>
          <w:lang w:eastAsia="zh-Hans"/>
        </w:rPr>
        <w:t>高级培训班</w:t>
      </w:r>
      <w:r>
        <w:rPr>
          <w:rFonts w:hint="eastAsia" w:ascii="仿宋" w:hAnsi="仿宋" w:cs="宋体"/>
          <w:sz w:val="28"/>
          <w:szCs w:val="28"/>
        </w:rPr>
        <w:t>。请各单位积极组织本单位及下属单位相关人员参加。</w:t>
      </w:r>
    </w:p>
    <w:p>
      <w:pPr>
        <w:widowControl/>
        <w:spacing w:line="400" w:lineRule="exact"/>
        <w:ind w:firstLine="64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30480</wp:posOffset>
            </wp:positionV>
            <wp:extent cx="2565400" cy="1971040"/>
            <wp:effectExtent l="0" t="0" r="0" b="10160"/>
            <wp:wrapNone/>
            <wp:docPr id="4" name="图片 4" descr="ac4d167ae5ff288617da2b120e61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c4d167ae5ff288617da2b120e617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cs="宋体"/>
          <w:sz w:val="28"/>
          <w:szCs w:val="28"/>
        </w:rPr>
        <w:t>附件一、培训内容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附件二、报名表</w:t>
      </w:r>
    </w:p>
    <w:p>
      <w:pPr>
        <w:pStyle w:val="2"/>
        <w:ind w:firstLine="480"/>
      </w:pPr>
    </w:p>
    <w:p>
      <w:pPr>
        <w:spacing w:line="400" w:lineRule="exact"/>
        <w:rPr>
          <w:rFonts w:ascii="仿宋" w:hAnsi="仿宋" w:cs="宋体"/>
          <w:b/>
          <w:snapToGrid w:val="0"/>
          <w:kern w:val="20"/>
          <w:position w:val="-4"/>
          <w:sz w:val="28"/>
          <w:szCs w:val="28"/>
        </w:rPr>
      </w:pPr>
    </w:p>
    <w:p>
      <w:pPr>
        <w:spacing w:line="400" w:lineRule="exact"/>
        <w:rPr>
          <w:rFonts w:hint="eastAsia" w:ascii="仿宋" w:hAnsi="仿宋" w:cs="宋体"/>
          <w:b/>
          <w:snapToGrid w:val="0"/>
          <w:kern w:val="20"/>
          <w:position w:val="-4"/>
          <w:sz w:val="28"/>
          <w:szCs w:val="28"/>
        </w:rPr>
      </w:pPr>
    </w:p>
    <w:p>
      <w:pPr>
        <w:spacing w:line="400" w:lineRule="exact"/>
        <w:rPr>
          <w:rFonts w:hint="eastAsia" w:ascii="仿宋" w:hAnsi="仿宋" w:cs="宋体"/>
          <w:b/>
          <w:snapToGrid w:val="0"/>
          <w:kern w:val="20"/>
          <w:position w:val="-4"/>
          <w:sz w:val="28"/>
          <w:szCs w:val="28"/>
        </w:rPr>
      </w:pPr>
    </w:p>
    <w:p>
      <w:pPr>
        <w:spacing w:line="400" w:lineRule="exact"/>
        <w:rPr>
          <w:rFonts w:ascii="仿宋" w:hAnsi="仿宋" w:cs="宋体"/>
          <w:b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cs="宋体"/>
          <w:b/>
          <w:snapToGrid w:val="0"/>
          <w:kern w:val="20"/>
          <w:position w:val="-4"/>
          <w:sz w:val="28"/>
          <w:szCs w:val="28"/>
        </w:rPr>
        <w:t>附件一：培训内容</w:t>
      </w:r>
    </w:p>
    <w:p>
      <w:pPr>
        <w:widowControl/>
        <w:spacing w:line="300" w:lineRule="exact"/>
        <w:ind w:firstLine="281" w:firstLineChars="100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/>
          <w:b/>
          <w:bCs/>
          <w:sz w:val="28"/>
          <w:szCs w:val="28"/>
        </w:rPr>
        <w:t>第一部分：《新清标(征)》、</w:t>
      </w:r>
      <w:r>
        <w:rPr>
          <w:rFonts w:ascii="仿宋" w:hAnsi="仿宋"/>
          <w:b/>
          <w:bCs/>
          <w:sz w:val="28"/>
          <w:szCs w:val="28"/>
        </w:rPr>
        <w:t>《</w:t>
      </w:r>
      <w:r>
        <w:rPr>
          <w:rFonts w:hint="eastAsia" w:ascii="仿宋" w:hAnsi="仿宋"/>
          <w:b/>
          <w:bCs/>
          <w:sz w:val="28"/>
          <w:szCs w:val="28"/>
        </w:rPr>
        <w:t>总计规</w:t>
      </w:r>
      <w:r>
        <w:rPr>
          <w:rFonts w:ascii="仿宋" w:hAnsi="仿宋"/>
          <w:b/>
          <w:bCs/>
          <w:sz w:val="28"/>
          <w:szCs w:val="28"/>
        </w:rPr>
        <w:t>》</w:t>
      </w:r>
      <w:r>
        <w:rPr>
          <w:rFonts w:hint="eastAsia" w:ascii="仿宋" w:hAnsi="仿宋"/>
          <w:b/>
          <w:bCs/>
          <w:sz w:val="28"/>
          <w:szCs w:val="28"/>
        </w:rPr>
        <w:t>、</w:t>
      </w:r>
      <w:r>
        <w:rPr>
          <w:rFonts w:ascii="仿宋" w:hAnsi="仿宋"/>
          <w:b/>
          <w:bCs/>
          <w:sz w:val="28"/>
          <w:szCs w:val="28"/>
        </w:rPr>
        <w:t>《</w:t>
      </w:r>
      <w:r>
        <w:rPr>
          <w:rFonts w:hint="eastAsia" w:ascii="仿宋" w:hAnsi="仿宋"/>
          <w:b/>
          <w:bCs/>
          <w:sz w:val="28"/>
          <w:szCs w:val="28"/>
        </w:rPr>
        <w:t>总管法</w:t>
      </w:r>
      <w:r>
        <w:rPr>
          <w:rFonts w:ascii="仿宋" w:hAnsi="仿宋"/>
          <w:b/>
          <w:bCs/>
          <w:sz w:val="28"/>
          <w:szCs w:val="28"/>
        </w:rPr>
        <w:t>》</w:t>
      </w:r>
      <w:r>
        <w:rPr>
          <w:rFonts w:hint="eastAsia" w:ascii="仿宋" w:hAnsi="仿宋"/>
          <w:b/>
          <w:bCs/>
          <w:sz w:val="28"/>
          <w:szCs w:val="28"/>
        </w:rPr>
        <w:t>等最新法规政策深度解读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中国建设工程造价管理协会《建设工程总承包计价规范》(T/CCEAS001-2022，中价协〔2022〕53号)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住建部《建设工程工程量清单计价标准(征)》(建司局函标〔2021〕144号)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财政部、住建部《关于完善建设工程价款结算有关办法的通知》(财建〔2022〕183号)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财政部、应急部《企业安全生产费用提取和使用管理办法》(财资〔2022〕136号) 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住建部《建筑工程施工发包与承包计价管理办法(征)》(建司局函标〔2021〕153号)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住建部《工程造价改革工作方案》(建办标〔2020〕38号)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住建部、市场监管总局《建设项目工程总承包合同(示范文本)》(GF-2020-0216)；</w:t>
      </w:r>
    </w:p>
    <w:p>
      <w:pPr>
        <w:pStyle w:val="16"/>
        <w:widowControl/>
        <w:numPr>
          <w:ilvl w:val="0"/>
          <w:numId w:val="1"/>
        </w:numPr>
        <w:spacing w:line="300" w:lineRule="exact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住建部《房屋建筑和市政基础设施项目工程总承包管理办法》(建市规〔2019〕12号)</w:t>
      </w:r>
    </w:p>
    <w:p>
      <w:pPr>
        <w:widowControl/>
        <w:spacing w:line="300" w:lineRule="exact"/>
        <w:ind w:firstLine="281" w:firstLineChars="100"/>
        <w:rPr>
          <w:rFonts w:ascii="仿宋" w:hAnsi="仿宋"/>
        </w:rPr>
      </w:pPr>
      <w:r>
        <w:rPr>
          <w:rFonts w:hint="eastAsia" w:ascii="仿宋" w:hAnsi="仿宋"/>
          <w:b/>
          <w:bCs/>
          <w:sz w:val="28"/>
          <w:szCs w:val="28"/>
        </w:rPr>
        <w:t>第二部分：《新清标(征)》下工程计价与结算重点与难点问题实操解决方案与案例解读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工程计价内容的招标设计；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工程费用性质分析：按实核定与包干固定；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最高投标限价编制与监管的改革政策；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《新清标(征)》中关于合同形式的新规定及计价案例；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措施项目清单缺漏项与包干计价分析；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过程结算与过程支付的辨析与案例；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人材机调价时单价差与消耗量确定；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工程量增减与不平衡单价；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材料单价不合理情形下变更置换计价；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工程措施方案变更与优化的计价处理；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工程签证类型与计价处理；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材料设备认价性质界定与案例；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暂估价项目及总承包服务费计价案例；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营改增下工程计价与计税典型案例分析；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工程结算审计定性分析及案例。</w:t>
      </w:r>
    </w:p>
    <w:p>
      <w:pPr>
        <w:widowControl/>
        <w:spacing w:line="300" w:lineRule="exact"/>
        <w:ind w:firstLine="281" w:firstLineChars="100"/>
        <w:rPr>
          <w:rFonts w:ascii="仿宋" w:hAnsi="仿宋"/>
        </w:rPr>
      </w:pPr>
      <w:r>
        <w:rPr>
          <w:rFonts w:hint="eastAsia" w:ascii="仿宋" w:hAnsi="仿宋"/>
          <w:b/>
          <w:bCs/>
          <w:sz w:val="28"/>
          <w:szCs w:val="28"/>
        </w:rPr>
        <w:t>第三部分：</w:t>
      </w:r>
      <w:r>
        <w:rPr>
          <w:rFonts w:ascii="仿宋" w:hAnsi="仿宋"/>
          <w:b/>
          <w:bCs/>
          <w:sz w:val="28"/>
          <w:szCs w:val="28"/>
        </w:rPr>
        <w:t>《</w:t>
      </w:r>
      <w:r>
        <w:rPr>
          <w:rFonts w:hint="eastAsia" w:ascii="仿宋" w:hAnsi="仿宋"/>
          <w:b/>
          <w:bCs/>
          <w:sz w:val="28"/>
          <w:szCs w:val="28"/>
        </w:rPr>
        <w:t>总计规</w:t>
      </w:r>
      <w:r>
        <w:rPr>
          <w:rFonts w:ascii="仿宋" w:hAnsi="仿宋"/>
          <w:b/>
          <w:bCs/>
          <w:sz w:val="28"/>
          <w:szCs w:val="28"/>
        </w:rPr>
        <w:t>》</w:t>
      </w:r>
      <w:r>
        <w:rPr>
          <w:rFonts w:hint="eastAsia" w:ascii="仿宋" w:hAnsi="仿宋"/>
          <w:b/>
          <w:bCs/>
          <w:sz w:val="28"/>
          <w:szCs w:val="28"/>
        </w:rPr>
        <w:t>下总承包(E</w:t>
      </w:r>
      <w:r>
        <w:rPr>
          <w:rFonts w:ascii="仿宋" w:hAnsi="仿宋"/>
          <w:b/>
          <w:bCs/>
          <w:sz w:val="28"/>
          <w:szCs w:val="28"/>
        </w:rPr>
        <w:t>PC)</w:t>
      </w:r>
      <w:r>
        <w:rPr>
          <w:rFonts w:hint="eastAsia" w:ascii="仿宋" w:hAnsi="仿宋"/>
          <w:b/>
          <w:bCs/>
          <w:sz w:val="28"/>
          <w:szCs w:val="28"/>
        </w:rPr>
        <w:t>投资控制与结算难题破解与</w:t>
      </w:r>
      <w:r>
        <w:rPr>
          <w:rFonts w:ascii="仿宋" w:hAnsi="仿宋"/>
          <w:b/>
          <w:bCs/>
          <w:sz w:val="28"/>
          <w:szCs w:val="28"/>
        </w:rPr>
        <w:t>案例</w:t>
      </w:r>
      <w:r>
        <w:rPr>
          <w:rFonts w:hint="eastAsia" w:ascii="仿宋" w:hAnsi="仿宋"/>
          <w:b/>
          <w:bCs/>
          <w:sz w:val="28"/>
          <w:szCs w:val="28"/>
        </w:rPr>
        <w:t>解读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EPC价格构成内容分析：哪些费用能进入EPC价格，哪些费用不能进入EPC价格？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EPC工程费用性质分析：区分不同性质的费用在结算处理时所呈现的不同特征——按实核定与包干固定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EPC计价范围与计价机制：辨析EPC总价合同的不同形式，厘清国内EPC合同计价特点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EPC过程结算/过程支付：区分EPC过程结算与施工承包合同计量支付结算的本质不同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EPC计价风险与调整：EPC限额价格到底“限”的是什么价格? EPC竣工结算价格能否突破限额价格？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EPC变更计价：厘清EPC变更计价责任，分析变更对EPC限额与施工图预算的影响，通过案例给出EPC变更计价的操作方法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EPC暂估价项目计价：暂估价计价方式的合规风险分析，暂估价材设的认价内涵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EPC计价机制的困境与突破：分析限额模式下EPC计价的内在矛盾，提出EPC招标计价创新方案</w:t>
      </w:r>
    </w:p>
    <w:p>
      <w:pPr>
        <w:widowControl/>
        <w:numPr>
          <w:ilvl w:val="0"/>
          <w:numId w:val="3"/>
        </w:numPr>
        <w:autoSpaceDE w:val="0"/>
        <w:autoSpaceDN w:val="0"/>
        <w:snapToGrid w:val="0"/>
        <w:ind w:left="920" w:leftChars="200" w:hanging="280" w:hangingChars="10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EPC造价审计定性：国内EPC总价合同面临审计风险分析，澄清运用审计结果与开展审计监督的概念混淆，剖析工程造价审计的职业伦理</w:t>
      </w:r>
    </w:p>
    <w:p>
      <w:pPr>
        <w:pStyle w:val="16"/>
        <w:spacing w:line="400" w:lineRule="exact"/>
        <w:ind w:left="1" w:firstLine="141" w:firstLineChars="50"/>
        <w:rPr>
          <w:rFonts w:ascii="仿宋" w:hAnsi="仿宋" w:cs="楷体"/>
          <w:b/>
          <w:bCs/>
          <w:sz w:val="28"/>
          <w:szCs w:val="28"/>
        </w:rPr>
      </w:pPr>
      <w:bookmarkStart w:id="0" w:name="_Hlk136426759"/>
      <w:r>
        <w:rPr>
          <w:rFonts w:hint="eastAsia" w:ascii="仿宋" w:hAnsi="仿宋" w:cs="楷体"/>
          <w:b/>
          <w:bCs/>
          <w:sz w:val="28"/>
          <w:szCs w:val="28"/>
        </w:rPr>
        <w:t>第四部分 政府投资类EPC工程总承包项目立项阶段疑难问题：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1.EPC工程总承包项目立项的合规性？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2.EPC工程总承包项目立项选址与区域经济发展是否相辅相成?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3.EPC工程总承包项目立项阶段调规的可行性与科学性分析?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4.EPC工程总承包项目立项阶段土地获取的方式及其合规性审查?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5.EPC工程总承包项目立项阶段集体用地、建筑用地、林业用地、宅基地之间的关联关系及其边界条件？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6.EPC工程总承包项目建议书编制依据及其科学性分析？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7.EPC工程总承包项目建议书批复文件的有效性？</w:t>
      </w:r>
    </w:p>
    <w:p>
      <w:pPr>
        <w:pStyle w:val="16"/>
        <w:spacing w:line="400" w:lineRule="exact"/>
        <w:ind w:left="1" w:firstLine="141" w:firstLineChars="50"/>
        <w:rPr>
          <w:rFonts w:ascii="仿宋" w:hAnsi="仿宋" w:cs="楷体"/>
          <w:b/>
          <w:bCs/>
          <w:sz w:val="28"/>
          <w:szCs w:val="28"/>
        </w:rPr>
      </w:pPr>
      <w:r>
        <w:rPr>
          <w:rFonts w:hint="eastAsia" w:ascii="仿宋" w:hAnsi="仿宋" w:cs="楷体"/>
          <w:b/>
          <w:bCs/>
          <w:sz w:val="28"/>
          <w:szCs w:val="28"/>
        </w:rPr>
        <w:t>第五部分 政企合作模式下EPC工程总承包项目立项阶段疑难问题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1. 如何处理 PPP + EPC模式下立项阶段征拆费与安置费?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2. 如何界定ABO + EPC模式下立项阶段项目执行主体资格?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3. EOD + EPC模式下立项阶段的投资分析及财务分析？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4. F + EPC模式的合规性审查与政府隐性债务分析？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5. PPP+专项债模式下的EPC工程总承包立项阶段合规性分析？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6. 如何定性政企合作模式下的政府隐性债务？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7. 政企合作模式下的EPC工程总承包项目是否受《政府投资条例》管制？</w:t>
      </w:r>
    </w:p>
    <w:p>
      <w:pPr>
        <w:pStyle w:val="16"/>
        <w:spacing w:line="400" w:lineRule="exact"/>
        <w:ind w:left="2" w:firstLine="705" w:firstLineChars="252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8. 政企合作模式下的EPC工程总承包项目是否受《房屋建筑与市政基础设施项目工程总承包管理办法》管制?</w:t>
      </w:r>
    </w:p>
    <w:p>
      <w:pPr>
        <w:pStyle w:val="16"/>
        <w:spacing w:line="400" w:lineRule="exact"/>
        <w:ind w:left="1" w:firstLine="141" w:firstLineChars="50"/>
        <w:rPr>
          <w:rFonts w:ascii="仿宋" w:hAnsi="仿宋" w:cs="楷体"/>
          <w:b/>
          <w:bCs/>
          <w:sz w:val="28"/>
          <w:szCs w:val="28"/>
        </w:rPr>
      </w:pPr>
      <w:r>
        <w:rPr>
          <w:rFonts w:hint="eastAsia" w:ascii="仿宋" w:hAnsi="仿宋" w:cs="楷体"/>
          <w:b/>
          <w:bCs/>
          <w:sz w:val="28"/>
          <w:szCs w:val="28"/>
        </w:rPr>
        <w:t>第六部分 EPC项目招标阶段疑难问题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1. 政府投资类EPC工程总承包项目招标的边界条件？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2. 政府投资类EPC工程总承包项目招标的基准?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3. 如何界定政府投资类EPC项目招标阶段初步设计与概算的深度?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4. 政企合作模式下EPC项目招标是否以初设概算作为要约基本条件？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5. EPC工程总承包项目招标采用费率下浮+总价包干模式的利弊分析？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6. EPC工程总承包项目招标的三大基准线控制原则?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7. 招标阶段是否要求承包人带设计方案投标？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8. 固定总价合同的局限性？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9.  EPC联合体投标的利弊分析？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10. EPC联合体成员间责任划分的标准与依据？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11. EPC联合体业绩申报的基本原则有哪些？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12. EPC项目组价的清单及基本原则？</w:t>
      </w:r>
    </w:p>
    <w:p>
      <w:pPr>
        <w:pStyle w:val="16"/>
        <w:spacing w:line="400" w:lineRule="exact"/>
        <w:ind w:left="1" w:firstLine="281" w:firstLineChars="100"/>
        <w:rPr>
          <w:rFonts w:ascii="仿宋" w:hAnsi="仿宋" w:cs="楷体"/>
          <w:b/>
          <w:bCs/>
          <w:sz w:val="28"/>
          <w:szCs w:val="28"/>
        </w:rPr>
      </w:pPr>
      <w:r>
        <w:rPr>
          <w:rFonts w:hint="eastAsia" w:ascii="仿宋" w:hAnsi="仿宋" w:cs="楷体"/>
          <w:b/>
          <w:bCs/>
          <w:sz w:val="28"/>
          <w:szCs w:val="28"/>
        </w:rPr>
        <w:t>第七部分 EPC项目建设阶段疑难问题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1.如何认定EPC项目中标后的项目执行主体资格？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2.EPC项目中标后，合同签署前有哪些关键事项？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3.EPC联合体项目部的权力与义务？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4.EPC联合体项目部管理程序及其管控原则有哪些？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5.EPC联合体项目部有哪些组织架构与管控流程？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6.EPC联合体项目部中设计部门的岗位职责与管理边界？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7.EPC工程总承包项目设计管理的核心有哪些？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8.如何确定EPC工程总承包项目设计、采购、施工的工作界面？</w:t>
      </w:r>
    </w:p>
    <w:p>
      <w:pPr>
        <w:pStyle w:val="16"/>
        <w:spacing w:line="400" w:lineRule="exact"/>
        <w:ind w:left="-3" w:leftChars="-1" w:firstLine="708" w:firstLineChars="253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9.试运行费用的计费标准及其使用范围？</w:t>
      </w:r>
    </w:p>
    <w:p>
      <w:pPr>
        <w:widowControl/>
        <w:spacing w:line="400" w:lineRule="exact"/>
        <w:jc w:val="left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b/>
          <w:sz w:val="28"/>
          <w:szCs w:val="28"/>
        </w:rPr>
        <w:t>三、培训对象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各地政府建设项目监管部门、工程交易中心、投资项目评审中心；各业主单位从事项目管理、合同管理、工程项目建设、开发、审计等相关部门人员；各建筑施工企业、工程公司、总承包公司、设计院、成套设备公司、设备材料供应商、国际招标公司、律师事务所及各公司的总经理、副总经理、部门经理、项目经理、市场开发、法务专员等相关部门负责人、中高等院校、医院及科研机构、参与EPC项目管理的所有管理者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四、拟邀专家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国家发改委、住建部、</w:t>
      </w:r>
      <w:r>
        <w:rPr>
          <w:rFonts w:hint="eastAsia" w:ascii="仿宋" w:hAnsi="仿宋"/>
          <w:sz w:val="28"/>
          <w:szCs w:val="28"/>
          <w:lang w:val="zh-CN"/>
        </w:rPr>
        <w:t>行业协会、参与新规范编写的有关专家</w:t>
      </w:r>
      <w:r>
        <w:rPr>
          <w:rFonts w:hint="eastAsia" w:ascii="仿宋" w:hAnsi="仿宋" w:cs="宋体"/>
          <w:sz w:val="28"/>
          <w:szCs w:val="28"/>
        </w:rPr>
        <w:t>和国内一流EPC总承包项目管理丰富经验的实战专家现场授课，结合经典实例分析，并进行现场答疑和互动交流。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五、培训时间和地点</w:t>
      </w:r>
    </w:p>
    <w:p>
      <w:pPr>
        <w:pStyle w:val="16"/>
        <w:spacing w:line="400" w:lineRule="exact"/>
        <w:ind w:firstLine="560" w:firstLineChars="200"/>
        <w:rPr>
          <w:rFonts w:ascii="仿宋" w:hAnsi="仿宋" w:cs="楷体"/>
          <w:sz w:val="28"/>
          <w:szCs w:val="28"/>
        </w:rPr>
      </w:pPr>
      <w:r>
        <w:rPr>
          <w:rFonts w:ascii="仿宋" w:hAnsi="仿宋" w:cs="楷体"/>
          <w:sz w:val="28"/>
          <w:szCs w:val="28"/>
        </w:rPr>
        <w:t>2023</w:t>
      </w:r>
      <w:r>
        <w:rPr>
          <w:rFonts w:hint="eastAsia" w:ascii="仿宋" w:hAnsi="仿宋" w:cs="楷体"/>
          <w:sz w:val="28"/>
          <w:szCs w:val="28"/>
        </w:rPr>
        <w:t>年0</w:t>
      </w:r>
      <w:r>
        <w:rPr>
          <w:rFonts w:ascii="仿宋" w:hAnsi="仿宋" w:cs="楷体"/>
          <w:sz w:val="28"/>
          <w:szCs w:val="28"/>
        </w:rPr>
        <w:t>6</w:t>
      </w:r>
      <w:r>
        <w:rPr>
          <w:rFonts w:hint="eastAsia" w:ascii="仿宋" w:hAnsi="仿宋" w:cs="楷体"/>
          <w:sz w:val="28"/>
          <w:szCs w:val="28"/>
        </w:rPr>
        <w:t>月1</w:t>
      </w:r>
      <w:r>
        <w:rPr>
          <w:rFonts w:ascii="仿宋" w:hAnsi="仿宋" w:cs="楷体"/>
          <w:sz w:val="28"/>
          <w:szCs w:val="28"/>
        </w:rPr>
        <w:t>5</w:t>
      </w:r>
      <w:r>
        <w:rPr>
          <w:rFonts w:hint="eastAsia" w:ascii="仿宋" w:hAnsi="仿宋" w:cs="楷体"/>
          <w:sz w:val="28"/>
          <w:szCs w:val="28"/>
        </w:rPr>
        <w:t>日-</w:t>
      </w:r>
      <w:r>
        <w:rPr>
          <w:rFonts w:ascii="仿宋" w:hAnsi="仿宋" w:cs="楷体"/>
          <w:sz w:val="28"/>
          <w:szCs w:val="28"/>
        </w:rPr>
        <w:t>19</w:t>
      </w:r>
      <w:r>
        <w:rPr>
          <w:rFonts w:hint="eastAsia" w:ascii="仿宋" w:hAnsi="仿宋" w:cs="楷体"/>
          <w:sz w:val="28"/>
          <w:szCs w:val="28"/>
        </w:rPr>
        <w:t>日（1</w:t>
      </w:r>
      <w:r>
        <w:rPr>
          <w:rFonts w:ascii="仿宋" w:hAnsi="仿宋" w:cs="楷体"/>
          <w:sz w:val="28"/>
          <w:szCs w:val="28"/>
        </w:rPr>
        <w:t>5</w:t>
      </w:r>
      <w:r>
        <w:rPr>
          <w:rFonts w:hint="eastAsia" w:ascii="仿宋" w:hAnsi="仿宋" w:cs="楷体"/>
          <w:sz w:val="28"/>
          <w:szCs w:val="28"/>
        </w:rPr>
        <w:t>日全天报到）地点：乌鲁木齐</w:t>
      </w:r>
    </w:p>
    <w:p>
      <w:pPr>
        <w:pStyle w:val="16"/>
        <w:spacing w:line="400" w:lineRule="exact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</w:t>
      </w:r>
      <w:r>
        <w:rPr>
          <w:rFonts w:ascii="仿宋" w:hAnsi="仿宋" w:cs="楷体"/>
          <w:sz w:val="28"/>
          <w:szCs w:val="28"/>
        </w:rPr>
        <w:t>023</w:t>
      </w:r>
      <w:r>
        <w:rPr>
          <w:rFonts w:hint="eastAsia" w:ascii="仿宋" w:hAnsi="仿宋" w:cs="楷体"/>
          <w:sz w:val="28"/>
          <w:szCs w:val="28"/>
        </w:rPr>
        <w:t>年</w:t>
      </w:r>
      <w:r>
        <w:rPr>
          <w:rFonts w:ascii="仿宋" w:hAnsi="仿宋" w:cs="楷体"/>
          <w:sz w:val="28"/>
          <w:szCs w:val="28"/>
        </w:rPr>
        <w:t>07</w:t>
      </w:r>
      <w:r>
        <w:rPr>
          <w:rFonts w:hint="eastAsia" w:ascii="仿宋" w:hAnsi="仿宋" w:cs="楷体"/>
          <w:sz w:val="28"/>
          <w:szCs w:val="28"/>
        </w:rPr>
        <w:t>月0</w:t>
      </w:r>
      <w:r>
        <w:rPr>
          <w:rFonts w:ascii="仿宋" w:hAnsi="仿宋" w:cs="楷体"/>
          <w:sz w:val="28"/>
          <w:szCs w:val="28"/>
        </w:rPr>
        <w:t>5</w:t>
      </w:r>
      <w:r>
        <w:rPr>
          <w:rFonts w:hint="eastAsia" w:ascii="仿宋" w:hAnsi="仿宋" w:cs="楷体"/>
          <w:sz w:val="28"/>
          <w:szCs w:val="28"/>
        </w:rPr>
        <w:t>日-</w:t>
      </w:r>
      <w:r>
        <w:rPr>
          <w:rFonts w:ascii="仿宋" w:hAnsi="仿宋" w:cs="楷体"/>
          <w:sz w:val="28"/>
          <w:szCs w:val="28"/>
        </w:rPr>
        <w:t>08</w:t>
      </w:r>
      <w:r>
        <w:rPr>
          <w:rFonts w:hint="eastAsia" w:ascii="仿宋" w:hAnsi="仿宋" w:cs="楷体"/>
          <w:sz w:val="28"/>
          <w:szCs w:val="28"/>
        </w:rPr>
        <w:t>日（0</w:t>
      </w:r>
      <w:r>
        <w:rPr>
          <w:rFonts w:ascii="仿宋" w:hAnsi="仿宋" w:cs="楷体"/>
          <w:sz w:val="28"/>
          <w:szCs w:val="28"/>
        </w:rPr>
        <w:t>5</w:t>
      </w:r>
      <w:r>
        <w:rPr>
          <w:rFonts w:hint="eastAsia" w:ascii="仿宋" w:hAnsi="仿宋" w:cs="楷体"/>
          <w:sz w:val="28"/>
          <w:szCs w:val="28"/>
        </w:rPr>
        <w:t>日全天报到）地点：广州市</w:t>
      </w:r>
    </w:p>
    <w:p>
      <w:pPr>
        <w:pStyle w:val="16"/>
        <w:spacing w:line="400" w:lineRule="exact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</w:t>
      </w:r>
      <w:r>
        <w:rPr>
          <w:rFonts w:ascii="仿宋" w:hAnsi="仿宋" w:cs="楷体"/>
          <w:sz w:val="28"/>
          <w:szCs w:val="28"/>
        </w:rPr>
        <w:t>023</w:t>
      </w:r>
      <w:r>
        <w:rPr>
          <w:rFonts w:hint="eastAsia" w:ascii="仿宋" w:hAnsi="仿宋" w:cs="楷体"/>
          <w:sz w:val="28"/>
          <w:szCs w:val="28"/>
        </w:rPr>
        <w:t>年0</w:t>
      </w:r>
      <w:r>
        <w:rPr>
          <w:rFonts w:ascii="仿宋" w:hAnsi="仿宋" w:cs="楷体"/>
          <w:sz w:val="28"/>
          <w:szCs w:val="28"/>
        </w:rPr>
        <w:t>7</w:t>
      </w:r>
      <w:r>
        <w:rPr>
          <w:rFonts w:hint="eastAsia" w:ascii="仿宋" w:hAnsi="仿宋" w:cs="楷体"/>
          <w:sz w:val="28"/>
          <w:szCs w:val="28"/>
        </w:rPr>
        <w:t>月2</w:t>
      </w:r>
      <w:r>
        <w:rPr>
          <w:rFonts w:ascii="仿宋" w:hAnsi="仿宋" w:cs="楷体"/>
          <w:sz w:val="28"/>
          <w:szCs w:val="28"/>
        </w:rPr>
        <w:t>7</w:t>
      </w:r>
      <w:r>
        <w:rPr>
          <w:rFonts w:hint="eastAsia" w:ascii="仿宋" w:hAnsi="仿宋" w:cs="楷体"/>
          <w:sz w:val="28"/>
          <w:szCs w:val="28"/>
        </w:rPr>
        <w:t>日-</w:t>
      </w:r>
      <w:r>
        <w:rPr>
          <w:rFonts w:ascii="仿宋" w:hAnsi="仿宋" w:cs="楷体"/>
          <w:sz w:val="28"/>
          <w:szCs w:val="28"/>
        </w:rPr>
        <w:t>30</w:t>
      </w:r>
      <w:r>
        <w:rPr>
          <w:rFonts w:hint="eastAsia" w:ascii="仿宋" w:hAnsi="仿宋" w:cs="楷体"/>
          <w:sz w:val="28"/>
          <w:szCs w:val="28"/>
        </w:rPr>
        <w:t>日（2</w:t>
      </w:r>
      <w:r>
        <w:rPr>
          <w:rFonts w:ascii="仿宋" w:hAnsi="仿宋" w:cs="楷体"/>
          <w:sz w:val="28"/>
          <w:szCs w:val="28"/>
        </w:rPr>
        <w:t>7</w:t>
      </w:r>
      <w:r>
        <w:rPr>
          <w:rFonts w:hint="eastAsia" w:ascii="仿宋" w:hAnsi="仿宋" w:cs="楷体"/>
          <w:sz w:val="28"/>
          <w:szCs w:val="28"/>
        </w:rPr>
        <w:t>日全天报报）地点：昆明市</w:t>
      </w:r>
    </w:p>
    <w:p>
      <w:pPr>
        <w:pStyle w:val="16"/>
        <w:spacing w:line="400" w:lineRule="exact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</w:t>
      </w:r>
      <w:r>
        <w:rPr>
          <w:rFonts w:ascii="仿宋" w:hAnsi="仿宋" w:cs="楷体"/>
          <w:sz w:val="28"/>
          <w:szCs w:val="28"/>
        </w:rPr>
        <w:t>023</w:t>
      </w:r>
      <w:r>
        <w:rPr>
          <w:rFonts w:hint="eastAsia" w:ascii="仿宋" w:hAnsi="仿宋" w:cs="楷体"/>
          <w:sz w:val="28"/>
          <w:szCs w:val="28"/>
        </w:rPr>
        <w:t>年0</w:t>
      </w:r>
      <w:r>
        <w:rPr>
          <w:rFonts w:ascii="仿宋" w:hAnsi="仿宋" w:cs="楷体"/>
          <w:sz w:val="28"/>
          <w:szCs w:val="28"/>
        </w:rPr>
        <w:t>8</w:t>
      </w:r>
      <w:r>
        <w:rPr>
          <w:rFonts w:hint="eastAsia" w:ascii="仿宋" w:hAnsi="仿宋" w:cs="楷体"/>
          <w:sz w:val="28"/>
          <w:szCs w:val="28"/>
        </w:rPr>
        <w:t>月1</w:t>
      </w:r>
      <w:r>
        <w:rPr>
          <w:rFonts w:ascii="仿宋" w:hAnsi="仿宋" w:cs="楷体"/>
          <w:sz w:val="28"/>
          <w:szCs w:val="28"/>
        </w:rPr>
        <w:t>6</w:t>
      </w:r>
      <w:r>
        <w:rPr>
          <w:rFonts w:hint="eastAsia" w:ascii="仿宋" w:hAnsi="仿宋" w:cs="楷体"/>
          <w:sz w:val="28"/>
          <w:szCs w:val="28"/>
        </w:rPr>
        <w:t>日-</w:t>
      </w:r>
      <w:r>
        <w:rPr>
          <w:rFonts w:ascii="仿宋" w:hAnsi="仿宋" w:cs="楷体"/>
          <w:sz w:val="28"/>
          <w:szCs w:val="28"/>
        </w:rPr>
        <w:t>19</w:t>
      </w:r>
      <w:r>
        <w:rPr>
          <w:rFonts w:hint="eastAsia" w:ascii="仿宋" w:hAnsi="仿宋" w:cs="楷体"/>
          <w:sz w:val="28"/>
          <w:szCs w:val="28"/>
        </w:rPr>
        <w:t>日（</w:t>
      </w:r>
      <w:r>
        <w:rPr>
          <w:rFonts w:ascii="仿宋" w:hAnsi="仿宋" w:cs="楷体"/>
          <w:sz w:val="28"/>
          <w:szCs w:val="28"/>
        </w:rPr>
        <w:t>16</w:t>
      </w:r>
      <w:r>
        <w:rPr>
          <w:rFonts w:hint="eastAsia" w:ascii="仿宋" w:hAnsi="仿宋" w:cs="楷体"/>
          <w:sz w:val="28"/>
          <w:szCs w:val="28"/>
        </w:rPr>
        <w:t>日全天报到）地点：青岛市</w:t>
      </w:r>
    </w:p>
    <w:p>
      <w:pPr>
        <w:pStyle w:val="16"/>
        <w:spacing w:line="400" w:lineRule="exact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</w:t>
      </w:r>
      <w:r>
        <w:rPr>
          <w:rFonts w:ascii="仿宋" w:hAnsi="仿宋" w:cs="楷体"/>
          <w:sz w:val="28"/>
          <w:szCs w:val="28"/>
        </w:rPr>
        <w:t>023</w:t>
      </w:r>
      <w:r>
        <w:rPr>
          <w:rFonts w:hint="eastAsia" w:ascii="仿宋" w:hAnsi="仿宋" w:cs="楷体"/>
          <w:sz w:val="28"/>
          <w:szCs w:val="28"/>
        </w:rPr>
        <w:t>年</w:t>
      </w:r>
      <w:r>
        <w:rPr>
          <w:rFonts w:ascii="仿宋" w:hAnsi="仿宋" w:cs="楷体"/>
          <w:sz w:val="28"/>
          <w:szCs w:val="28"/>
        </w:rPr>
        <w:t>09</w:t>
      </w:r>
      <w:r>
        <w:rPr>
          <w:rFonts w:hint="eastAsia" w:ascii="仿宋" w:hAnsi="仿宋" w:cs="楷体"/>
          <w:sz w:val="28"/>
          <w:szCs w:val="28"/>
        </w:rPr>
        <w:t>月</w:t>
      </w:r>
      <w:r>
        <w:rPr>
          <w:rFonts w:ascii="仿宋" w:hAnsi="仿宋" w:cs="楷体"/>
          <w:sz w:val="28"/>
          <w:szCs w:val="28"/>
        </w:rPr>
        <w:t>06</w:t>
      </w:r>
      <w:r>
        <w:rPr>
          <w:rFonts w:hint="eastAsia" w:ascii="仿宋" w:hAnsi="仿宋" w:cs="楷体"/>
          <w:sz w:val="28"/>
          <w:szCs w:val="28"/>
        </w:rPr>
        <w:t>日-</w:t>
      </w:r>
      <w:r>
        <w:rPr>
          <w:rFonts w:ascii="仿宋" w:hAnsi="仿宋" w:cs="楷体"/>
          <w:sz w:val="28"/>
          <w:szCs w:val="28"/>
        </w:rPr>
        <w:t>09</w:t>
      </w:r>
      <w:r>
        <w:rPr>
          <w:rFonts w:hint="eastAsia" w:ascii="仿宋" w:hAnsi="仿宋" w:cs="楷体"/>
          <w:sz w:val="28"/>
          <w:szCs w:val="28"/>
        </w:rPr>
        <w:t>日（0</w:t>
      </w:r>
      <w:r>
        <w:rPr>
          <w:rFonts w:ascii="仿宋" w:hAnsi="仿宋" w:cs="楷体"/>
          <w:sz w:val="28"/>
          <w:szCs w:val="28"/>
        </w:rPr>
        <w:t>6</w:t>
      </w:r>
      <w:r>
        <w:rPr>
          <w:rFonts w:hint="eastAsia" w:ascii="仿宋" w:hAnsi="仿宋" w:cs="楷体"/>
          <w:sz w:val="28"/>
          <w:szCs w:val="28"/>
        </w:rPr>
        <w:t>日全天报到）地点：上海市</w:t>
      </w:r>
    </w:p>
    <w:p>
      <w:pPr>
        <w:pStyle w:val="16"/>
        <w:spacing w:line="400" w:lineRule="exact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2</w:t>
      </w:r>
      <w:r>
        <w:rPr>
          <w:rFonts w:ascii="仿宋" w:hAnsi="仿宋" w:cs="楷体"/>
          <w:sz w:val="28"/>
          <w:szCs w:val="28"/>
        </w:rPr>
        <w:t>023</w:t>
      </w:r>
      <w:r>
        <w:rPr>
          <w:rFonts w:hint="eastAsia" w:ascii="仿宋" w:hAnsi="仿宋" w:cs="楷体"/>
          <w:sz w:val="28"/>
          <w:szCs w:val="28"/>
        </w:rPr>
        <w:t>年0</w:t>
      </w:r>
      <w:r>
        <w:rPr>
          <w:rFonts w:ascii="仿宋" w:hAnsi="仿宋" w:cs="楷体"/>
          <w:sz w:val="28"/>
          <w:szCs w:val="28"/>
        </w:rPr>
        <w:t>9</w:t>
      </w:r>
      <w:r>
        <w:rPr>
          <w:rFonts w:hint="eastAsia" w:ascii="仿宋" w:hAnsi="仿宋" w:cs="楷体"/>
          <w:sz w:val="28"/>
          <w:szCs w:val="28"/>
        </w:rPr>
        <w:t>月2</w:t>
      </w:r>
      <w:r>
        <w:rPr>
          <w:rFonts w:ascii="仿宋" w:hAnsi="仿宋" w:cs="楷体"/>
          <w:sz w:val="28"/>
          <w:szCs w:val="28"/>
        </w:rPr>
        <w:t>1</w:t>
      </w:r>
      <w:r>
        <w:rPr>
          <w:rFonts w:hint="eastAsia" w:ascii="仿宋" w:hAnsi="仿宋" w:cs="楷体"/>
          <w:sz w:val="28"/>
          <w:szCs w:val="28"/>
        </w:rPr>
        <w:t>日-</w:t>
      </w:r>
      <w:r>
        <w:rPr>
          <w:rFonts w:ascii="仿宋" w:hAnsi="仿宋" w:cs="楷体"/>
          <w:sz w:val="28"/>
          <w:szCs w:val="28"/>
        </w:rPr>
        <w:t>24</w:t>
      </w:r>
      <w:r>
        <w:rPr>
          <w:rFonts w:hint="eastAsia" w:ascii="仿宋" w:hAnsi="仿宋" w:cs="楷体"/>
          <w:sz w:val="28"/>
          <w:szCs w:val="28"/>
        </w:rPr>
        <w:t>日（</w:t>
      </w:r>
      <w:r>
        <w:rPr>
          <w:rFonts w:ascii="仿宋" w:hAnsi="仿宋" w:cs="楷体"/>
          <w:sz w:val="28"/>
          <w:szCs w:val="28"/>
        </w:rPr>
        <w:t>21</w:t>
      </w:r>
      <w:r>
        <w:rPr>
          <w:rFonts w:hint="eastAsia" w:ascii="仿宋" w:hAnsi="仿宋" w:cs="楷体"/>
          <w:sz w:val="28"/>
          <w:szCs w:val="28"/>
        </w:rPr>
        <w:t>日全天报到）地点：郑州市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六、收费标准</w:t>
      </w:r>
    </w:p>
    <w:p>
      <w:pPr>
        <w:widowControl/>
        <w:spacing w:line="400" w:lineRule="exact"/>
        <w:ind w:firstLine="562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cs="宋体"/>
          <w:b/>
          <w:bCs/>
          <w:sz w:val="28"/>
          <w:szCs w:val="28"/>
        </w:rPr>
        <w:t>标准</w:t>
      </w:r>
      <w:r>
        <w:rPr>
          <w:rFonts w:hint="eastAsia" w:ascii="仿宋" w:hAnsi="仿宋" w:cs="宋体"/>
          <w:sz w:val="28"/>
          <w:szCs w:val="28"/>
        </w:rPr>
        <w:t>：</w:t>
      </w:r>
      <w:r>
        <w:rPr>
          <w:rFonts w:ascii="仿宋" w:hAnsi="仿宋" w:cs="宋体"/>
          <w:sz w:val="28"/>
          <w:szCs w:val="28"/>
        </w:rPr>
        <w:t>3600</w:t>
      </w:r>
      <w:r>
        <w:rPr>
          <w:rFonts w:hint="eastAsia" w:ascii="仿宋" w:hAnsi="仿宋" w:cs="宋体"/>
          <w:sz w:val="28"/>
          <w:szCs w:val="28"/>
        </w:rPr>
        <w:t>元/人（含培训、资料、课件、场地、午餐费、专家等），住宿会务组统一安排，费用自理。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七、联系方式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 xml:space="preserve">报名负责人：聂红军 主任18211071700（微信）   </w:t>
      </w:r>
    </w:p>
    <w:p>
      <w:pPr>
        <w:widowControl/>
        <w:spacing w:line="400" w:lineRule="exact"/>
        <w:ind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cs="宋体"/>
          <w:sz w:val="28"/>
          <w:szCs w:val="28"/>
        </w:rPr>
        <w:t xml:space="preserve">电  话：13141289128        邮    箱：zqgphwz@126.com     </w:t>
      </w:r>
      <w:r>
        <w:rPr>
          <w:rFonts w:ascii="仿宋" w:hAnsi="仿宋" w:cs="宋体"/>
          <w:sz w:val="28"/>
          <w:szCs w:val="28"/>
        </w:rPr>
        <w:t xml:space="preserve"> </w:t>
      </w:r>
    </w:p>
    <w:p>
      <w:pPr>
        <w:pStyle w:val="16"/>
        <w:spacing w:line="420" w:lineRule="exact"/>
        <w:ind w:firstLine="0" w:firstLineChars="0"/>
        <w:rPr>
          <w:rFonts w:ascii="仿宋" w:hAnsi="仿宋" w:cs="楷体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cs="楷体"/>
          <w:b/>
          <w:bCs/>
          <w:sz w:val="28"/>
          <w:szCs w:val="28"/>
        </w:rPr>
        <w:t>附件二：</w:t>
      </w:r>
    </w:p>
    <w:p>
      <w:pPr>
        <w:pStyle w:val="16"/>
        <w:spacing w:line="420" w:lineRule="exact"/>
        <w:ind w:firstLine="0" w:firstLineChars="0"/>
        <w:jc w:val="center"/>
        <w:rPr>
          <w:rFonts w:ascii="仿宋" w:hAnsi="仿宋" w:cs="楷体"/>
          <w:sz w:val="24"/>
        </w:rPr>
      </w:pPr>
      <w:r>
        <w:rPr>
          <w:rFonts w:hint="eastAsia" w:ascii="仿宋" w:hAnsi="仿宋" w:cs="宋体"/>
          <w:sz w:val="24"/>
        </w:rPr>
        <w:t>“《新清标(征)》与《总计规》解读、工程计价与结算实务、EPC计价难题破解与案例、EPC工程总承包项目全过程（立项、招采、建设）等阶段疑难问题解析”</w:t>
      </w:r>
      <w:r>
        <w:rPr>
          <w:rFonts w:hint="eastAsia" w:ascii="仿宋" w:hAnsi="仿宋" w:cs="宋体"/>
          <w:sz w:val="24"/>
          <w:lang w:eastAsia="zh-Hans"/>
        </w:rPr>
        <w:t>高级培训班</w:t>
      </w:r>
      <w:r>
        <w:rPr>
          <w:rFonts w:hint="eastAsia" w:ascii="仿宋" w:hAnsi="仿宋" w:cs="楷体"/>
          <w:sz w:val="24"/>
        </w:rPr>
        <w:t>报名回执表</w:t>
      </w:r>
    </w:p>
    <w:tbl>
      <w:tblPr>
        <w:tblStyle w:val="10"/>
        <w:tblpPr w:leftFromText="180" w:rightFromText="180" w:vertAnchor="text" w:horzAnchor="margin" w:tblpXSpec="center" w:tblpY="70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593"/>
        <w:gridCol w:w="1120"/>
        <w:gridCol w:w="1134"/>
        <w:gridCol w:w="1635"/>
        <w:gridCol w:w="349"/>
        <w:gridCol w:w="911"/>
        <w:gridCol w:w="417"/>
        <w:gridCol w:w="978"/>
        <w:gridCol w:w="8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（开票单位）</w:t>
            </w:r>
          </w:p>
        </w:tc>
        <w:tc>
          <w:tcPr>
            <w:tcW w:w="6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邮  编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通讯地址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联 系 人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电    话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传  真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姓 名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4"/>
              </w:rPr>
            </w:pPr>
            <w:r>
              <w:rPr>
                <w:rFonts w:hint="eastAsia" w:ascii="仿宋" w:hAnsi="仿宋" w:cs="楷体"/>
                <w:sz w:val="24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部 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职  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手 机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E-mail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rPr>
                <w:rFonts w:ascii="仿宋" w:hAnsi="仿宋" w:cs="楷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楷体"/>
                <w:sz w:val="28"/>
                <w:szCs w:val="28"/>
                <w:lang w:val="zh-CN"/>
              </w:rPr>
              <w:t>是否住宿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□是     □否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住宿要求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rPr>
                <w:rFonts w:ascii="仿宋" w:hAnsi="仿宋" w:cs="楷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楷体"/>
                <w:sz w:val="28"/>
                <w:szCs w:val="28"/>
                <w:lang w:val="zh-CN"/>
              </w:rPr>
              <w:t>付款方式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□通过银行  □微信或支付宝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金额 额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开票信息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□</w:t>
            </w:r>
            <w:r>
              <w:rPr>
                <w:rFonts w:hint="eastAsia" w:ascii="仿宋" w:hAnsi="仿宋" w:cs="楷体"/>
                <w:sz w:val="28"/>
                <w:szCs w:val="28"/>
                <w:lang w:val="zh-CN"/>
              </w:rPr>
              <w:t>增值税专用发票</w:t>
            </w:r>
            <w:r>
              <w:rPr>
                <w:rFonts w:hint="eastAsia" w:ascii="仿宋" w:hAnsi="仿宋" w:cs="楷体"/>
                <w:sz w:val="28"/>
                <w:szCs w:val="28"/>
              </w:rPr>
              <w:t xml:space="preserve">         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仿宋"/>
                <w:bCs/>
                <w:sz w:val="24"/>
              </w:rPr>
              <w:t>发票信息 （专票请填写1-</w:t>
            </w:r>
            <w:r>
              <w:rPr>
                <w:rFonts w:ascii="仿宋" w:hAnsi="仿宋" w:cs="仿宋"/>
                <w:bCs/>
                <w:sz w:val="24"/>
              </w:rPr>
              <w:t>4</w:t>
            </w:r>
            <w:r>
              <w:rPr>
                <w:rFonts w:hint="eastAsia" w:ascii="仿宋" w:hAnsi="仿宋" w:cs="仿宋"/>
                <w:bCs/>
                <w:sz w:val="24"/>
              </w:rPr>
              <w:t>全部信息；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1.开票名称：</w:t>
            </w:r>
          </w:p>
          <w:p>
            <w:pPr>
              <w:ind w:firstLine="240" w:firstLineChars="100"/>
              <w:jc w:val="lef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2.纳税人识别号：</w:t>
            </w:r>
          </w:p>
          <w:p>
            <w:pPr>
              <w:ind w:firstLine="240" w:firstLineChars="100"/>
              <w:jc w:val="lef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3.地址、电话：</w:t>
            </w:r>
          </w:p>
          <w:p>
            <w:pPr>
              <w:ind w:firstLine="240" w:firstLineChars="100"/>
              <w:jc w:val="lef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4.开户行及账号：</w:t>
            </w:r>
          </w:p>
          <w:p>
            <w:pPr>
              <w:widowControl/>
              <w:spacing w:line="380" w:lineRule="exact"/>
              <w:rPr>
                <w:rFonts w:ascii="仿宋" w:hAnsi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</w:rPr>
            </w:pPr>
            <w:r>
              <w:rPr>
                <w:rFonts w:hint="eastAsia" w:ascii="仿宋" w:hAnsi="仿宋" w:cs="楷体"/>
                <w:sz w:val="28"/>
                <w:szCs w:val="28"/>
              </w:rPr>
              <w:t>收款账户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单位名称：北京众兴企培咨询有限公司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开户行：中国工商银行股份有限公司北京龙泉支行</w:t>
            </w:r>
          </w:p>
          <w:p>
            <w:pPr>
              <w:widowControl/>
              <w:spacing w:line="380" w:lineRule="exact"/>
              <w:ind w:left="280" w:hanging="280" w:hangingChars="100"/>
              <w:rPr>
                <w:rFonts w:ascii="仿宋" w:hAnsi="仿宋" w:cs="楷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  号：0200002009200234085（行号：102100000208）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exact"/>
        </w:trPr>
        <w:tc>
          <w:tcPr>
            <w:tcW w:w="10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20" w:lineRule="exact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※</w:t>
            </w:r>
            <w:r>
              <w:rPr>
                <w:sz w:val="24"/>
              </w:rPr>
              <w:t xml:space="preserve">学前调查：为了更好地提高培训实效，请学员们将您在实际工作中最感困惑、急待解决的1至2 个问题提前告诉我们，希望本次培训班能帮助您打开这些问号，欢迎大家踊跃留下您的疑问! </w:t>
            </w:r>
          </w:p>
          <w:p>
            <w:pPr>
              <w:pStyle w:val="16"/>
              <w:spacing w:line="420" w:lineRule="exac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问题1._________________________________________________ </w:t>
            </w:r>
          </w:p>
          <w:p>
            <w:pPr>
              <w:pStyle w:val="16"/>
              <w:spacing w:line="420" w:lineRule="exac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问题2._________________________________________________ </w:t>
            </w:r>
          </w:p>
          <w:p>
            <w:pPr>
              <w:pStyle w:val="16"/>
              <w:spacing w:line="420" w:lineRule="exact"/>
              <w:ind w:firstLine="0" w:firstLineChars="0"/>
              <w:rPr>
                <w:rFonts w:ascii="仿宋" w:hAnsi="仿宋" w:cs="楷体"/>
                <w:sz w:val="24"/>
              </w:rPr>
            </w:pPr>
          </w:p>
          <w:p>
            <w:pPr>
              <w:widowControl/>
              <w:spacing w:line="380" w:lineRule="exact"/>
              <w:ind w:firstLine="280" w:firstLineChars="100"/>
              <w:rPr>
                <w:rFonts w:ascii="仿宋" w:hAnsi="仿宋" w:cs="楷体"/>
                <w:sz w:val="28"/>
                <w:szCs w:val="28"/>
                <w:lang w:val="zh-CN"/>
              </w:rPr>
            </w:pPr>
          </w:p>
          <w:p>
            <w:pPr>
              <w:widowControl/>
              <w:spacing w:line="380" w:lineRule="exact"/>
              <w:rPr>
                <w:rFonts w:ascii="仿宋" w:hAnsi="仿宋" w:cs="楷体"/>
                <w:sz w:val="28"/>
                <w:szCs w:val="28"/>
                <w:lang w:val="zh-CN"/>
              </w:rPr>
            </w:pPr>
          </w:p>
        </w:tc>
      </w:tr>
    </w:tbl>
    <w:p>
      <w:pPr>
        <w:pStyle w:val="16"/>
        <w:tabs>
          <w:tab w:val="left" w:pos="777"/>
        </w:tabs>
        <w:spacing w:line="420" w:lineRule="exact"/>
        <w:ind w:firstLine="0" w:firstLineChars="0"/>
        <w:rPr>
          <w:rFonts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>注：1.本次培训内容及建筑口相关管理培训均可赴企业提供内训;</w:t>
      </w:r>
    </w:p>
    <w:p>
      <w:pPr>
        <w:pStyle w:val="16"/>
        <w:spacing w:line="420" w:lineRule="exact"/>
        <w:ind w:firstLine="560"/>
        <w:rPr>
          <w:rFonts w:hint="eastAsia" w:ascii="仿宋" w:hAnsi="仿宋" w:cs="楷体"/>
          <w:sz w:val="28"/>
          <w:szCs w:val="28"/>
        </w:rPr>
      </w:pPr>
      <w:r>
        <w:rPr>
          <w:rFonts w:ascii="仿宋" w:hAnsi="仿宋" w:cs="楷体"/>
          <w:sz w:val="28"/>
          <w:szCs w:val="28"/>
        </w:rPr>
        <w:t>2</w:t>
      </w:r>
      <w:r>
        <w:rPr>
          <w:rFonts w:hint="eastAsia" w:ascii="仿宋" w:hAnsi="仿宋" w:cs="楷体"/>
          <w:sz w:val="28"/>
          <w:szCs w:val="28"/>
        </w:rPr>
        <w:t>.</w:t>
      </w:r>
      <w:bookmarkEnd w:id="0"/>
      <w:r>
        <w:rPr>
          <w:rFonts w:hint="eastAsia" w:ascii="仿宋" w:hAnsi="仿宋" w:cs="楷体"/>
          <w:sz w:val="28"/>
          <w:szCs w:val="28"/>
        </w:rPr>
        <w:t xml:space="preserve">报名负责人：聂红军 主任18211071700（微信）   </w:t>
      </w:r>
    </w:p>
    <w:p>
      <w:pPr>
        <w:pStyle w:val="16"/>
        <w:spacing w:line="420" w:lineRule="exact"/>
        <w:ind w:firstLine="560"/>
        <w:rPr>
          <w:rFonts w:hint="eastAsia" w:ascii="仿宋" w:hAnsi="仿宋" w:cs="楷体"/>
          <w:sz w:val="28"/>
          <w:szCs w:val="28"/>
        </w:rPr>
      </w:pPr>
      <w:r>
        <w:rPr>
          <w:rFonts w:hint="eastAsia" w:ascii="仿宋" w:hAnsi="仿宋" w:cs="楷体"/>
          <w:sz w:val="28"/>
          <w:szCs w:val="28"/>
        </w:rPr>
        <w:t xml:space="preserve">电  话：13141289128        邮    箱：zqgphwz@126.com  </w:t>
      </w:r>
    </w:p>
    <w:p>
      <w:pPr>
        <w:pStyle w:val="16"/>
        <w:spacing w:line="420" w:lineRule="exact"/>
        <w:ind w:firstLine="560"/>
        <w:rPr>
          <w:rFonts w:hint="eastAsia" w:ascii="仿宋" w:hAnsi="仿宋" w:cs="楷体"/>
          <w:sz w:val="28"/>
          <w:szCs w:val="28"/>
          <w:lang w:val="en-US"/>
        </w:rPr>
      </w:pPr>
      <w:r>
        <w:rPr>
          <w:rFonts w:hint="eastAsia" w:ascii="仿宋" w:hAnsi="仿宋" w:cs="楷体"/>
          <w:sz w:val="28"/>
          <w:szCs w:val="28"/>
        </w:rPr>
        <w:t>qq咨询：3177524020        网    址：http://www.zqgpchina.cn</w:t>
      </w:r>
    </w:p>
    <w:sectPr>
      <w:footerReference r:id="rId3" w:type="default"/>
      <w:pgSz w:w="11906" w:h="16838"/>
      <w:pgMar w:top="851" w:right="991" w:bottom="1134" w:left="851" w:header="567" w:footer="340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5"/>
        <w:szCs w:val="15"/>
      </w:rPr>
    </w:pPr>
    <w:r>
      <w:rPr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50290" cy="1809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29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0"/>
                            </w:rPr>
                            <w:t>6</w:t>
                          </w:r>
                          <w:r>
                            <w:rPr>
                              <w:sz w:val="22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25pt;width:82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AmmdMAAAAE&#10;AQAADwAAAGRycy9kb3ducmV2LnhtbE2PwU7DMBBE75X4B2uRuLVOS1tVIU4lKsIRiYYDx228JAF7&#10;HdluGv4elwtcVhrNaOZtsZ+sESP50DtWsFxkIIgbp3tuFbzV1XwHIkRkjcYxKfimAPvyZlZgrt2F&#10;X2k8xlakEg45KuhiHHIpQ9ORxbBwA3HyPpy3GJP0rdQeL6ncGrnKsq202HNa6HCgQ0fN1/FsFRyq&#10;uvYjBW/e6bm6/3x5XNPTpNTd7TJ7ABFpin9huOIndCgT08mdWQdhFKRH4u+9etvNGsRJwWq3AVkW&#10;8j98+QNQSwMEFAAAAAgAh07iQFj+aykSAgAABgQAAA4AAABkcnMvZTJvRG9jLnhtbK1TTY7TMBTe&#10;I3EHy3uatKjDTNR0VGZUhFQxIxXE2nXsJpLtZ9luk3IAuAErNuw5V8/Bs5N0ELBCbJwvfv/f+7y4&#10;7bQiR+F8A6ak00lOiTAcqsbsS/rh/frFNSU+MFMxBUaU9CQ8vV0+f7ZobSFmUIOqhCOYxPiitSWt&#10;Q7BFlnleC838BKwwaJTgNAv46/ZZ5ViL2bXKZnl+lbXgKuuAC+/x9r430mXKL6Xg4UFKLwJRJcXe&#10;QjpdOnfxzJYLVuwds3XDhzbYP3ShWWOw6CXVPQuMHFzzRyrdcAceZJhw0BlI2XCRZsBppvlv02xr&#10;ZkWaBcnx9kKT/39p+bvjoyNNVdIZJYZpXNH565fztx/n75/JLNLTWl+g19aiX+heQ4drHu89Xsap&#10;O+l0/OI8BO1I9OlCrugC4TEon+ezGzRxtE2v85tX85gme4q2zoc3AjSJoKQOl5c4ZceND73r6BKL&#10;GVg3SqUFKkPakl69nOcp4GLB5MpgjThD32tEodt1w2A7qE44l4NeGN7ydYPFN8yHR+ZQCdgvqjs8&#10;4CEVYBEYECU1uE9/u4/+uCC0UtKiskpqUPqUqLcGFxdFOAI3gt0IzEHfAUp1iq/G8gQxwAU1QulA&#10;f0TJr2INNDHDsVJJwwjvQq9ufDJcrFbJCaVmWdiYreUxdSTP29UhIIGJ10hKz8TAFYotbWZ4GFHN&#10;v/4nr6fnu/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UAmmdMAAAAEAQAADwAAAAAAAAABACAA&#10;AAAiAAAAZHJzL2Rvd25yZXYueG1sUEsBAhQAFAAAAAgAh07iQFj+aykSAgAABg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2"/>
                        <w:szCs w:val="20"/>
                      </w:rPr>
                    </w:pPr>
                    <w:r>
                      <w:rPr>
                        <w:rFonts w:hint="eastAsia"/>
                        <w:sz w:val="22"/>
                        <w:szCs w:val="20"/>
                      </w:rPr>
                      <w:t xml:space="preserve">第 </w:t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fldChar w:fldCharType="separate"/>
                    </w:r>
                    <w:r>
                      <w:rPr>
                        <w:sz w:val="22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0"/>
                      </w:rPr>
                      <w:t>6</w:t>
                    </w:r>
                    <w:r>
                      <w:rPr>
                        <w:sz w:val="22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44D"/>
    <w:multiLevelType w:val="multilevel"/>
    <w:tmpl w:val="2C39444D"/>
    <w:lvl w:ilvl="0" w:tentative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40"/>
      </w:pPr>
    </w:lvl>
    <w:lvl w:ilvl="2" w:tentative="0">
      <w:start w:val="1"/>
      <w:numFmt w:val="lowerRoman"/>
      <w:lvlText w:val="%3."/>
      <w:lvlJc w:val="right"/>
      <w:pPr>
        <w:ind w:left="1600" w:hanging="440"/>
      </w:pPr>
    </w:lvl>
    <w:lvl w:ilvl="3" w:tentative="0">
      <w:start w:val="1"/>
      <w:numFmt w:val="decimal"/>
      <w:lvlText w:val="%4."/>
      <w:lvlJc w:val="left"/>
      <w:pPr>
        <w:ind w:left="2040" w:hanging="440"/>
      </w:pPr>
    </w:lvl>
    <w:lvl w:ilvl="4" w:tentative="0">
      <w:start w:val="1"/>
      <w:numFmt w:val="lowerLetter"/>
      <w:lvlText w:val="%5)"/>
      <w:lvlJc w:val="left"/>
      <w:pPr>
        <w:ind w:left="2480" w:hanging="440"/>
      </w:pPr>
    </w:lvl>
    <w:lvl w:ilvl="5" w:tentative="0">
      <w:start w:val="1"/>
      <w:numFmt w:val="lowerRoman"/>
      <w:lvlText w:val="%6."/>
      <w:lvlJc w:val="right"/>
      <w:pPr>
        <w:ind w:left="2920" w:hanging="440"/>
      </w:pPr>
    </w:lvl>
    <w:lvl w:ilvl="6" w:tentative="0">
      <w:start w:val="1"/>
      <w:numFmt w:val="decimal"/>
      <w:lvlText w:val="%7."/>
      <w:lvlJc w:val="left"/>
      <w:pPr>
        <w:ind w:left="3360" w:hanging="440"/>
      </w:pPr>
    </w:lvl>
    <w:lvl w:ilvl="7" w:tentative="0">
      <w:start w:val="1"/>
      <w:numFmt w:val="lowerLetter"/>
      <w:lvlText w:val="%8)"/>
      <w:lvlJc w:val="left"/>
      <w:pPr>
        <w:ind w:left="3800" w:hanging="440"/>
      </w:pPr>
    </w:lvl>
    <w:lvl w:ilvl="8" w:tentative="0">
      <w:start w:val="1"/>
      <w:numFmt w:val="lowerRoman"/>
      <w:lvlText w:val="%9."/>
      <w:lvlJc w:val="right"/>
      <w:pPr>
        <w:ind w:left="4240" w:hanging="440"/>
      </w:pPr>
    </w:lvl>
  </w:abstractNum>
  <w:abstractNum w:abstractNumId="1">
    <w:nsid w:val="2FBD13A8"/>
    <w:multiLevelType w:val="multilevel"/>
    <w:tmpl w:val="2FBD13A8"/>
    <w:lvl w:ilvl="0" w:tentative="0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0204EDE"/>
    <w:multiLevelType w:val="multilevel"/>
    <w:tmpl w:val="40204EDE"/>
    <w:lvl w:ilvl="0" w:tentative="0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1"/>
  <w:drawingGridHorizontalSpacing w:val="160"/>
  <w:drawingGridVerticalSpacing w:val="2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Y2NlNjZjOWY0N2EwZjc1NTYwNGUwZWJkMmY1ZDQifQ=="/>
  </w:docVars>
  <w:rsids>
    <w:rsidRoot w:val="00104116"/>
    <w:rsid w:val="00007860"/>
    <w:rsid w:val="00077FA0"/>
    <w:rsid w:val="000A357C"/>
    <w:rsid w:val="000D593A"/>
    <w:rsid w:val="000D68C5"/>
    <w:rsid w:val="00104116"/>
    <w:rsid w:val="0016255A"/>
    <w:rsid w:val="001A0600"/>
    <w:rsid w:val="001A604D"/>
    <w:rsid w:val="001F1AA9"/>
    <w:rsid w:val="001F2449"/>
    <w:rsid w:val="001F60EE"/>
    <w:rsid w:val="001F6A6F"/>
    <w:rsid w:val="0023068F"/>
    <w:rsid w:val="00255B9A"/>
    <w:rsid w:val="002778B6"/>
    <w:rsid w:val="002E0120"/>
    <w:rsid w:val="002F1A44"/>
    <w:rsid w:val="002F6FCC"/>
    <w:rsid w:val="003036B0"/>
    <w:rsid w:val="00307D60"/>
    <w:rsid w:val="003475C4"/>
    <w:rsid w:val="003646D3"/>
    <w:rsid w:val="00390B55"/>
    <w:rsid w:val="00391DBA"/>
    <w:rsid w:val="0039517B"/>
    <w:rsid w:val="003A26AB"/>
    <w:rsid w:val="003A7C6A"/>
    <w:rsid w:val="003C5E34"/>
    <w:rsid w:val="003E351D"/>
    <w:rsid w:val="0044265B"/>
    <w:rsid w:val="00456B37"/>
    <w:rsid w:val="00482A73"/>
    <w:rsid w:val="00487911"/>
    <w:rsid w:val="004C1D95"/>
    <w:rsid w:val="004D4220"/>
    <w:rsid w:val="004D652E"/>
    <w:rsid w:val="004E5ADF"/>
    <w:rsid w:val="00501D1E"/>
    <w:rsid w:val="00514570"/>
    <w:rsid w:val="00516031"/>
    <w:rsid w:val="00532CED"/>
    <w:rsid w:val="00556117"/>
    <w:rsid w:val="00584CFB"/>
    <w:rsid w:val="0058576B"/>
    <w:rsid w:val="005A006F"/>
    <w:rsid w:val="005A6003"/>
    <w:rsid w:val="005E08B9"/>
    <w:rsid w:val="006718C1"/>
    <w:rsid w:val="0067346A"/>
    <w:rsid w:val="006D4726"/>
    <w:rsid w:val="006F3EB7"/>
    <w:rsid w:val="00723EEB"/>
    <w:rsid w:val="007A2B02"/>
    <w:rsid w:val="007F3E0C"/>
    <w:rsid w:val="00803581"/>
    <w:rsid w:val="00811BAE"/>
    <w:rsid w:val="00823877"/>
    <w:rsid w:val="00826ED5"/>
    <w:rsid w:val="0084210F"/>
    <w:rsid w:val="008729F5"/>
    <w:rsid w:val="008E20FB"/>
    <w:rsid w:val="00925BF7"/>
    <w:rsid w:val="00937E48"/>
    <w:rsid w:val="00942684"/>
    <w:rsid w:val="00950CD2"/>
    <w:rsid w:val="00971C0E"/>
    <w:rsid w:val="009824A8"/>
    <w:rsid w:val="00986224"/>
    <w:rsid w:val="009A12EE"/>
    <w:rsid w:val="009B06B4"/>
    <w:rsid w:val="009C1B43"/>
    <w:rsid w:val="00A13A28"/>
    <w:rsid w:val="00A149C9"/>
    <w:rsid w:val="00A35070"/>
    <w:rsid w:val="00A359D3"/>
    <w:rsid w:val="00A45D79"/>
    <w:rsid w:val="00A70FF0"/>
    <w:rsid w:val="00A8158D"/>
    <w:rsid w:val="00AB2F0E"/>
    <w:rsid w:val="00AB66AC"/>
    <w:rsid w:val="00AF45FF"/>
    <w:rsid w:val="00B065FF"/>
    <w:rsid w:val="00B166F0"/>
    <w:rsid w:val="00B20C27"/>
    <w:rsid w:val="00B214F8"/>
    <w:rsid w:val="00B46958"/>
    <w:rsid w:val="00B73A5D"/>
    <w:rsid w:val="00B73FA4"/>
    <w:rsid w:val="00B80C06"/>
    <w:rsid w:val="00BB302A"/>
    <w:rsid w:val="00BB4C09"/>
    <w:rsid w:val="00C34707"/>
    <w:rsid w:val="00C743FE"/>
    <w:rsid w:val="00CC0FCD"/>
    <w:rsid w:val="00CD4FCB"/>
    <w:rsid w:val="00D473AA"/>
    <w:rsid w:val="00D93DC2"/>
    <w:rsid w:val="00DA63F4"/>
    <w:rsid w:val="00DF22FA"/>
    <w:rsid w:val="00E34019"/>
    <w:rsid w:val="00E70C8A"/>
    <w:rsid w:val="00E835FF"/>
    <w:rsid w:val="00ED51ED"/>
    <w:rsid w:val="00F267C8"/>
    <w:rsid w:val="00F41B25"/>
    <w:rsid w:val="00F52D29"/>
    <w:rsid w:val="00F735CC"/>
    <w:rsid w:val="00F81A29"/>
    <w:rsid w:val="00F9231C"/>
    <w:rsid w:val="00F97467"/>
    <w:rsid w:val="00FA316C"/>
    <w:rsid w:val="00FE2864"/>
    <w:rsid w:val="00FE65D9"/>
    <w:rsid w:val="00FF1169"/>
    <w:rsid w:val="0146180C"/>
    <w:rsid w:val="015B6FB4"/>
    <w:rsid w:val="02BD7E0E"/>
    <w:rsid w:val="05625FDD"/>
    <w:rsid w:val="06280608"/>
    <w:rsid w:val="072A037D"/>
    <w:rsid w:val="08F26D0A"/>
    <w:rsid w:val="09081396"/>
    <w:rsid w:val="099F77E2"/>
    <w:rsid w:val="09B859B5"/>
    <w:rsid w:val="09F91BAB"/>
    <w:rsid w:val="0A3D43A5"/>
    <w:rsid w:val="0A456EFE"/>
    <w:rsid w:val="0B872906"/>
    <w:rsid w:val="0BB87C7F"/>
    <w:rsid w:val="0C1A0844"/>
    <w:rsid w:val="0D083ABC"/>
    <w:rsid w:val="0D4228C7"/>
    <w:rsid w:val="0D7C3DC2"/>
    <w:rsid w:val="0D9865FC"/>
    <w:rsid w:val="0E2C1557"/>
    <w:rsid w:val="0E6B7334"/>
    <w:rsid w:val="0FE23E49"/>
    <w:rsid w:val="0FF90BF3"/>
    <w:rsid w:val="11A84636"/>
    <w:rsid w:val="12DA00C2"/>
    <w:rsid w:val="143164B1"/>
    <w:rsid w:val="14A44E78"/>
    <w:rsid w:val="152E0316"/>
    <w:rsid w:val="15BF0E17"/>
    <w:rsid w:val="16CC5F90"/>
    <w:rsid w:val="16D10BD4"/>
    <w:rsid w:val="188450D8"/>
    <w:rsid w:val="192E5F9E"/>
    <w:rsid w:val="1969038D"/>
    <w:rsid w:val="19B001E6"/>
    <w:rsid w:val="1AA82C03"/>
    <w:rsid w:val="1AC67D54"/>
    <w:rsid w:val="1BFC72B7"/>
    <w:rsid w:val="1C9512F2"/>
    <w:rsid w:val="1CAB4025"/>
    <w:rsid w:val="1D8B27BD"/>
    <w:rsid w:val="21122AA5"/>
    <w:rsid w:val="213D0C0E"/>
    <w:rsid w:val="21FB58E1"/>
    <w:rsid w:val="24D2203D"/>
    <w:rsid w:val="2879565F"/>
    <w:rsid w:val="299C1DE3"/>
    <w:rsid w:val="2CE10526"/>
    <w:rsid w:val="2E47155F"/>
    <w:rsid w:val="2E6C61D6"/>
    <w:rsid w:val="2EF0593A"/>
    <w:rsid w:val="2F104C27"/>
    <w:rsid w:val="30500B1B"/>
    <w:rsid w:val="33CE5FC6"/>
    <w:rsid w:val="35380332"/>
    <w:rsid w:val="36502B15"/>
    <w:rsid w:val="37D4471E"/>
    <w:rsid w:val="38C45E61"/>
    <w:rsid w:val="39413D39"/>
    <w:rsid w:val="3983669A"/>
    <w:rsid w:val="3AD7752D"/>
    <w:rsid w:val="3AF93D9D"/>
    <w:rsid w:val="3B2767A2"/>
    <w:rsid w:val="3B8A5345"/>
    <w:rsid w:val="3C934241"/>
    <w:rsid w:val="3FA63751"/>
    <w:rsid w:val="40E32157"/>
    <w:rsid w:val="41853E5F"/>
    <w:rsid w:val="439C3174"/>
    <w:rsid w:val="43C5315B"/>
    <w:rsid w:val="4575522F"/>
    <w:rsid w:val="45FE3E19"/>
    <w:rsid w:val="465B6280"/>
    <w:rsid w:val="481228DF"/>
    <w:rsid w:val="48253196"/>
    <w:rsid w:val="488B1E6F"/>
    <w:rsid w:val="48DC3E4B"/>
    <w:rsid w:val="4A137AC1"/>
    <w:rsid w:val="4B760144"/>
    <w:rsid w:val="4B996CE5"/>
    <w:rsid w:val="4C7735DF"/>
    <w:rsid w:val="4CF611AA"/>
    <w:rsid w:val="4D6F0292"/>
    <w:rsid w:val="4DC4550D"/>
    <w:rsid w:val="4DC517A7"/>
    <w:rsid w:val="4E335488"/>
    <w:rsid w:val="4FDF74A1"/>
    <w:rsid w:val="51A079E4"/>
    <w:rsid w:val="51E640CB"/>
    <w:rsid w:val="51E83378"/>
    <w:rsid w:val="53020004"/>
    <w:rsid w:val="53AD7931"/>
    <w:rsid w:val="550C6C72"/>
    <w:rsid w:val="565224C8"/>
    <w:rsid w:val="569F3A0E"/>
    <w:rsid w:val="56A908E0"/>
    <w:rsid w:val="570C1C25"/>
    <w:rsid w:val="5724767D"/>
    <w:rsid w:val="57923EA3"/>
    <w:rsid w:val="591F50BD"/>
    <w:rsid w:val="59301FAD"/>
    <w:rsid w:val="595D44DE"/>
    <w:rsid w:val="5AF2451D"/>
    <w:rsid w:val="5D697C40"/>
    <w:rsid w:val="5F4C73B7"/>
    <w:rsid w:val="5F7321BE"/>
    <w:rsid w:val="5FEB39BB"/>
    <w:rsid w:val="5FF90D6B"/>
    <w:rsid w:val="612629E6"/>
    <w:rsid w:val="61C92EBA"/>
    <w:rsid w:val="6215091F"/>
    <w:rsid w:val="622206F9"/>
    <w:rsid w:val="62F9311B"/>
    <w:rsid w:val="636E3700"/>
    <w:rsid w:val="6409668F"/>
    <w:rsid w:val="662C2D59"/>
    <w:rsid w:val="66B13B90"/>
    <w:rsid w:val="66EC0607"/>
    <w:rsid w:val="672B59EC"/>
    <w:rsid w:val="67797F96"/>
    <w:rsid w:val="677F1C0D"/>
    <w:rsid w:val="68E93F5E"/>
    <w:rsid w:val="690A751F"/>
    <w:rsid w:val="69F3103A"/>
    <w:rsid w:val="6CC50FE7"/>
    <w:rsid w:val="6CE231BD"/>
    <w:rsid w:val="6D0766E8"/>
    <w:rsid w:val="70EE338F"/>
    <w:rsid w:val="71DD178E"/>
    <w:rsid w:val="72347373"/>
    <w:rsid w:val="7670078A"/>
    <w:rsid w:val="76AF35BA"/>
    <w:rsid w:val="787E2D2B"/>
    <w:rsid w:val="7A362513"/>
    <w:rsid w:val="7AB72B1C"/>
    <w:rsid w:val="7AC11B5D"/>
    <w:rsid w:val="7C161AFA"/>
    <w:rsid w:val="7E2B0087"/>
    <w:rsid w:val="7E2B4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3">
    <w:name w:val="页眉 字符"/>
    <w:basedOn w:val="11"/>
    <w:link w:val="4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样式1"/>
    <w:basedOn w:val="11"/>
    <w:qFormat/>
    <w:uiPriority w:val="0"/>
    <w:rPr>
      <w:rFonts w:ascii="等线" w:hAnsi="等线" w:eastAsia="宋体"/>
      <w:b/>
      <w:sz w:val="7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1"/>
    <w:link w:val="5"/>
    <w:qFormat/>
    <w:uiPriority w:val="9"/>
    <w:rPr>
      <w:rFonts w:ascii="Calibri" w:hAnsi="Calibri" w:eastAsia="仿宋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CE861-60EE-4EF8-999B-D6510EEC8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3532</Words>
  <Characters>4040</Characters>
  <Lines>30</Lines>
  <Paragraphs>8</Paragraphs>
  <TotalTime>4</TotalTime>
  <ScaleCrop>false</ScaleCrop>
  <LinksUpToDate>false</LinksUpToDate>
  <CharactersWithSpaces>4126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2023-05-31T03:42:00Z</dcterms:created>
  <dc:creator>田勇 田勇</dc:creator>
  <cp:lastModifiedBy>Administrator</cp:lastModifiedBy>
  <dcterms:modified xsi:type="dcterms:W3CDTF">2023-06-05T00:11:12Z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D6DE864ACD6D4685BBAC6A1D4530D641</vt:lpwstr>
  </property>
</Properties>
</file>