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u w:val="none"/>
          <w:lang w:val="en-US" w:eastAsia="zh-CN"/>
        </w:rPr>
      </w:pPr>
    </w:p>
    <w:p>
      <w:pPr>
        <w:jc w:val="distribute"/>
        <w:rPr>
          <w:rFonts w:ascii="宋体" w:hAnsi="宋体" w:eastAsia="宋体"/>
          <w:b/>
          <w:bCs/>
          <w:color w:val="FF0000"/>
          <w:sz w:val="84"/>
          <w:szCs w:val="84"/>
          <w:lang w:val="zh-TW" w:eastAsia="zh-TW" w:bidi="zh-TW"/>
        </w:rPr>
      </w:pPr>
      <w:bookmarkStart w:id="0" w:name="bookmark2"/>
      <w:bookmarkStart w:id="1" w:name="bookmark0"/>
      <w:bookmarkStart w:id="2" w:name="bookmark1"/>
      <w:r>
        <w:rPr>
          <w:rFonts w:ascii="宋体" w:hAnsi="宋体" w:eastAsia="宋体"/>
          <w:b/>
          <w:bCs/>
          <w:color w:val="FF0000"/>
          <w:sz w:val="84"/>
          <w:szCs w:val="84"/>
          <w:lang w:val="zh-TW" w:eastAsia="zh-TW" w:bidi="zh-TW"/>
        </w:rPr>
        <w:t>中国投资协会培训中心</w:t>
      </w:r>
      <w:bookmarkEnd w:id="0"/>
      <w:bookmarkEnd w:id="1"/>
      <w:bookmarkEnd w:id="2"/>
    </w:p>
    <w:p>
      <w:pPr>
        <w:keepNext/>
        <w:keepLines/>
        <w:spacing w:after="700"/>
        <w:jc w:val="center"/>
        <w:outlineLvl w:val="1"/>
        <w:rPr>
          <w:rFonts w:hint="eastAsia" w:ascii="仿宋" w:hAnsi="仿宋" w:eastAsia="仿宋" w:cs="仿宋"/>
          <w:b/>
          <w:bCs/>
          <w:sz w:val="32"/>
          <w:szCs w:val="32"/>
          <w:u w:val="none"/>
          <w:lang w:val="en-US" w:eastAsia="zh-CN"/>
        </w:rPr>
      </w:pPr>
      <w:r>
        <w:rPr>
          <w:rFonts w:hint="eastAsia" w:ascii="宋体" w:hAnsi="宋体" w:eastAsia="宋体"/>
          <w:b/>
          <w:bCs/>
          <w:color w:val="000000"/>
          <w:sz w:val="15"/>
          <w:szCs w:val="15"/>
          <w:lang w:val="zh-TW" w:eastAsia="zh-TW" w:bidi="zh-TW"/>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464185</wp:posOffset>
                </wp:positionV>
                <wp:extent cx="5991225" cy="10160"/>
                <wp:effectExtent l="0" t="4445" r="9525" b="13970"/>
                <wp:wrapNone/>
                <wp:docPr id="1" name="直接连接符 1"/>
                <wp:cNvGraphicFramePr/>
                <a:graphic xmlns:a="http://schemas.openxmlformats.org/drawingml/2006/main">
                  <a:graphicData uri="http://schemas.microsoft.com/office/word/2010/wordprocessingShape">
                    <wps:wsp>
                      <wps:cNvCnPr/>
                      <wps:spPr>
                        <a:xfrm>
                          <a:off x="0" y="0"/>
                          <a:ext cx="5991225" cy="10160"/>
                        </a:xfrm>
                        <a:prstGeom prst="line">
                          <a:avLst/>
                        </a:prstGeom>
                        <a:noFill/>
                        <a:ln w="9525" cap="flat" cmpd="sng" algn="ctr">
                          <a:solidFill>
                            <a:srgbClr val="C0504D"/>
                          </a:solidFill>
                          <a:prstDash val="solid"/>
                          <a:miter lim="800000"/>
                          <a:headEnd type="none" w="med" len="med"/>
                          <a:tailEnd type="none" w="med" len="med"/>
                        </a:ln>
                        <a:effectLst/>
                      </wps:spPr>
                      <wps:bodyPr upright="1"/>
                    </wps:wsp>
                  </a:graphicData>
                </a:graphic>
              </wp:anchor>
            </w:drawing>
          </mc:Choice>
          <mc:Fallback>
            <w:pict>
              <v:line id="_x0000_s1026" o:spid="_x0000_s1026" o:spt="20" style="position:absolute;left:0pt;margin-left:2pt;margin-top:36.55pt;height:0.8pt;width:471.75pt;z-index:251659264;mso-width-relative:page;mso-height-relative:page;" filled="f" stroked="t" coordsize="21600,21600" o:gfxdata="UEsDBAoAAAAAAIdO4kAAAAAAAAAAAAAAAAAEAAAAZHJzL1BLAwQUAAAACACHTuJAWfFGPtgAAAAH&#10;AQAADwAAAGRycy9kb3ducmV2LnhtbE2PzU7DMBCE70i8g7VI3KgdCISGOJVAIC6ARKhy3iYmiRKv&#10;U9v9gadnOcFxZ0Yz3xaro53E3vgwONKQLBQIQ41rB+o0rD+eLm5BhIjU4uTIaPgyAVbl6UmBeesO&#10;9G72VewEl1DIUUMf45xLGZreWAwLNxti79N5i5FP38nW44HL7SQvlbqRFgfihR5n89CbZqx2VsO4&#10;3Vb3z2/4On4vh9rXtXqZ149an58l6g5ENMf4F4ZffEaHkpk2bkdtEJOGlD+JGrKrBATbyzS7BrFh&#10;Ic1AloX8z1/+AFBLAwQUAAAACACHTuJAImmzXBgCAAAjBAAADgAAAGRycy9lMm9Eb2MueG1srVNL&#10;jhMxEN0jcQfLe9LdERlNWunMImHYIIgEHMCx3d2W/JPLSSeX4AJI7GDFkj23YTgGZXfIfNhkQRZO&#10;2a5+Ve/V8+LmYDTZywDK2YZWk5ISabkTynYN/fjh9sU1JRCZFUw7Kxt6lEBvls+fLQZfy6nrnRYy&#10;EASxUA++oX2Mvi4K4L00DCbOS4uXrQuGRdyGrhCBDYhudDEty6ticEH44LgEwNP1eElPiOESQNe2&#10;isu14zsjbRxRg9QsIiXolQe6zN22reTxXduCjEQ3FJnGvGIRjLdpLZYLVneB+V7xUwvskhaecDJM&#10;WSx6hlqzyMguqH+gjOLBgWvjhDtTjESyIsiiKp9o875nXmYuKDX4s+jw/2D52/0mECXQCZRYZnDg&#10;d59//Pr09ffPL7jeff9GqiTS4KHG3JXdhNMO/CYkxoc2mPSPXMghC3s8CysPkXA8nM3n1XQ6o4Tj&#10;XVVWV1n44v5jHyC+ls6QFDRUK5t4s5rt30DEgpj6NyUdW3ertM6z05YMDZ3PMjpDP7boAyxkPHIC&#10;21HCdIdG5zFkRHBaifR1woHQbVc6kD1De6zKWflynchitUdpqfSaQT/m5avROEZFfAtamYZel+k3&#10;HveSiVdWkHj0qKfFZ0RTk0YKSrTEZlKUu49M6UsysSNtU8cye/okShrKOIYUbZ044ix3PqiuRxHz&#10;3Ip0g97JpE4+T+Z8uMf44dte/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Z8UY+2AAAAAcBAAAP&#10;AAAAAAAAAAEAIAAAACIAAABkcnMvZG93bnJldi54bWxQSwECFAAUAAAACACHTuJAImmzXBgCAAAj&#10;BAAADgAAAAAAAAABACAAAAAnAQAAZHJzL2Uyb0RvYy54bWxQSwUGAAAAAAYABgBZAQAAsQUAAAAA&#10;">
                <v:fill on="f" focussize="0,0"/>
                <v:stroke color="#C0504D" miterlimit="8" joinstyle="miter"/>
                <v:imagedata o:title=""/>
                <o:lock v:ext="edit" aspectratio="f"/>
              </v:line>
            </w:pict>
          </mc:Fallback>
        </mc:AlternateContent>
      </w:r>
      <w:r>
        <w:rPr>
          <w:rFonts w:ascii="宋体" w:hAnsi="宋体" w:eastAsia="宋体"/>
          <w:b w:val="0"/>
          <w:bCs w:val="0"/>
          <w:color w:val="000000"/>
          <w:sz w:val="30"/>
          <w:szCs w:val="30"/>
          <w:lang w:val="zh-TW" w:eastAsia="zh-TW" w:bidi="zh-TW"/>
        </w:rPr>
        <w:t>中投协培〔</w:t>
      </w:r>
      <w:r>
        <w:rPr>
          <w:rFonts w:ascii="Times New Roman" w:hAnsi="Times New Roman" w:eastAsia="Times New Roman" w:cs="Times New Roman"/>
          <w:b w:val="0"/>
          <w:bCs w:val="0"/>
          <w:color w:val="000000"/>
          <w:sz w:val="32"/>
          <w:szCs w:val="32"/>
          <w:lang w:val="zh-TW" w:eastAsia="zh-TW" w:bidi="zh-TW"/>
        </w:rPr>
        <w:t>202</w:t>
      </w:r>
      <w:r>
        <w:rPr>
          <w:rFonts w:hint="eastAsia" w:ascii="Times New Roman" w:hAnsi="Times New Roman" w:eastAsia="宋体" w:cs="Times New Roman"/>
          <w:b w:val="0"/>
          <w:bCs w:val="0"/>
          <w:color w:val="000000"/>
          <w:sz w:val="32"/>
          <w:szCs w:val="32"/>
          <w:lang w:val="en-US" w:eastAsia="zh-CN" w:bidi="zh-TW"/>
        </w:rPr>
        <w:t>4</w:t>
      </w:r>
      <w:r>
        <w:rPr>
          <w:rFonts w:ascii="宋体" w:hAnsi="宋体" w:eastAsia="宋体"/>
          <w:b w:val="0"/>
          <w:bCs w:val="0"/>
          <w:color w:val="000000"/>
          <w:sz w:val="30"/>
          <w:szCs w:val="30"/>
          <w:lang w:val="zh-TW" w:eastAsia="zh-TW" w:bidi="zh-TW"/>
        </w:rPr>
        <w:t>〕</w:t>
      </w:r>
      <w:r>
        <w:rPr>
          <w:rFonts w:hint="eastAsia" w:ascii="宋体" w:hAnsi="宋体" w:eastAsia="宋体"/>
          <w:b w:val="0"/>
          <w:bCs w:val="0"/>
          <w:color w:val="000000"/>
          <w:sz w:val="30"/>
          <w:szCs w:val="30"/>
          <w:lang w:val="en-US" w:eastAsia="zh-CN" w:bidi="zh-TW"/>
        </w:rPr>
        <w:t>1</w:t>
      </w:r>
      <w:r>
        <w:rPr>
          <w:rFonts w:ascii="宋体" w:hAnsi="宋体" w:eastAsia="宋体"/>
          <w:b w:val="0"/>
          <w:bCs w:val="0"/>
          <w:color w:val="000000"/>
          <w:sz w:val="30"/>
          <w:szCs w:val="30"/>
          <w:lang w:val="zh-TW" w:eastAsia="zh-TW" w:bidi="zh-TW"/>
        </w:rPr>
        <w:t>号</w:t>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关于举办</w:t>
      </w:r>
      <w:r>
        <w:rPr>
          <w:rFonts w:hint="eastAsia" w:ascii="宋体" w:hAnsi="宋体" w:eastAsia="宋体" w:cs="宋体"/>
          <w:b/>
          <w:bCs/>
          <w:color w:val="000000" w:themeColor="text1"/>
          <w:spacing w:val="-20"/>
          <w:sz w:val="32"/>
          <w:szCs w:val="32"/>
          <w:u w:val="none"/>
          <w14:textFill>
            <w14:solidFill>
              <w14:schemeClr w14:val="tx1"/>
            </w14:solidFill>
          </w14:textFill>
        </w:rPr>
        <w:t>“</w:t>
      </w:r>
      <w:r>
        <w:rPr>
          <w:rFonts w:hint="eastAsia" w:ascii="宋体" w:hAnsi="宋体" w:eastAsia="宋体" w:cs="宋体"/>
          <w:b/>
          <w:bCs/>
          <w:sz w:val="32"/>
          <w:szCs w:val="32"/>
          <w:lang w:val="en-US" w:eastAsia="zh-CN"/>
        </w:rPr>
        <w:t>PPP新机制下基建项目投融资与特许经营项目实务操作</w:t>
      </w:r>
      <w:r>
        <w:rPr>
          <w:rFonts w:hint="eastAsia" w:ascii="宋体" w:hAnsi="宋体" w:eastAsia="宋体" w:cs="宋体"/>
          <w:b/>
          <w:bCs/>
          <w:color w:val="000000" w:themeColor="text1"/>
          <w:spacing w:val="-20"/>
          <w:sz w:val="32"/>
          <w:szCs w:val="32"/>
          <w:u w:val="none"/>
          <w14:textFill>
            <w14:solidFill>
              <w14:schemeClr w14:val="tx1"/>
            </w14:solidFill>
          </w14:textFill>
        </w:rPr>
        <w:t>”</w:t>
      </w:r>
    </w:p>
    <w:p>
      <w:pPr>
        <w:jc w:val="center"/>
        <w:rPr>
          <w:rFonts w:hint="eastAsia" w:ascii="宋体" w:hAnsi="宋体" w:eastAsia="宋体" w:cs="宋体"/>
          <w:sz w:val="32"/>
          <w:szCs w:val="32"/>
          <w:u w:val="none"/>
          <w:lang w:val="en-US" w:eastAsia="zh-CN"/>
        </w:rPr>
      </w:pPr>
      <w:r>
        <w:rPr>
          <w:rFonts w:hint="eastAsia" w:ascii="宋体" w:hAnsi="宋体" w:eastAsia="宋体" w:cs="宋体"/>
          <w:b/>
          <w:bCs/>
          <w:sz w:val="32"/>
          <w:szCs w:val="32"/>
          <w:lang w:val="en-US" w:eastAsia="zh-CN"/>
        </w:rPr>
        <w:t>专题培训</w:t>
      </w:r>
      <w:r>
        <w:rPr>
          <w:rFonts w:hint="eastAsia" w:ascii="宋体" w:hAnsi="宋体" w:eastAsia="宋体" w:cs="宋体"/>
          <w:b/>
          <w:bCs/>
          <w:sz w:val="32"/>
          <w:szCs w:val="32"/>
          <w:u w:val="none"/>
          <w:lang w:val="en-US" w:eastAsia="zh-CN"/>
        </w:rPr>
        <w:t>班通知</w:t>
      </w:r>
    </w:p>
    <w:p>
      <w:pPr>
        <w:pStyle w:val="8"/>
        <w:rPr>
          <w:rFonts w:hint="eastAsia" w:ascii="仿宋" w:hAnsi="仿宋" w:eastAsia="仿宋" w:cs="仿宋"/>
          <w:sz w:val="28"/>
          <w:szCs w:val="28"/>
          <w:u w:val="none"/>
          <w:lang w:val="en-US" w:eastAsia="zh-CN"/>
        </w:rPr>
      </w:pPr>
    </w:p>
    <w:p>
      <w:pPr>
        <w:keepNext w:val="0"/>
        <w:keepLines w:val="0"/>
        <w:pageBreakBefore w:val="0"/>
        <w:widowControl w:val="0"/>
        <w:numPr>
          <w:ilvl w:val="0"/>
          <w:numId w:val="0"/>
        </w:numPr>
        <w:tabs>
          <w:tab w:val="left" w:pos="315"/>
          <w:tab w:val="left" w:pos="567"/>
          <w:tab w:val="left" w:pos="709"/>
        </w:tabs>
        <w:kinsoku/>
        <w:wordWrap/>
        <w:overflowPunct/>
        <w:topLinePunct w:val="0"/>
        <w:autoSpaceDE/>
        <w:autoSpaceDN/>
        <w:bidi w:val="0"/>
        <w:adjustRightInd/>
        <w:snapToGrid/>
        <w:spacing w:line="480" w:lineRule="exact"/>
        <w:textAlignment w:val="baseline"/>
        <w:outlineLvl w:val="0"/>
        <w:rPr>
          <w:rFonts w:hint="eastAsia" w:ascii="仿宋" w:hAnsi="仿宋" w:cs="仿宋"/>
          <w:b/>
          <w:bCs/>
          <w:sz w:val="28"/>
          <w:szCs w:val="28"/>
          <w:lang w:val="en-US" w:eastAsia="zh-CN"/>
        </w:rPr>
      </w:pPr>
      <w:r>
        <w:rPr>
          <w:rFonts w:hint="eastAsia" w:ascii="仿宋" w:hAnsi="仿宋" w:eastAsia="仿宋" w:cs="仿宋"/>
          <w:b/>
          <w:bCs/>
          <w:sz w:val="28"/>
          <w:szCs w:val="28"/>
          <w:lang w:val="en-US" w:eastAsia="zh-CN"/>
        </w:rPr>
        <w:t>各有关单位：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2023年10-11月，国务院办公厅分别转发了财政部、国家发改委《关于政府和社会资本合作（PPP）存量项目分类处理的意见》（国办函〔2023〕91号）和国家发展改革委、财政部《关于规范实施政府和社会资本合作（PPP）新机制的指导意见》（国办函〔2023〕115号），我国投融资体制改革走向深化，PPP项目聚焦使用者付费的特许经营，走向更规范和可持续发展的新时代。然而，当前仍有大量的存量PPP项目正在实施中，如何按照91号文进行分类处理，新开展的PPP项目如何适应115号文即PPP新机制要求？同时，PPP新机制给地方政府、社会投资人和咨询机构等带来了哪些挑战和机会？如何按照新机制要求策划地方政府大型基建特许经营项目？如何建立好央国企与民企的合作机制？以上都已成为在建筑业（含房地产业）萎缩形势下相关企业转型升级和发展的关键议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为了帮助相关单位和主管部门更好地理解和应对PPP新机制带来的影响，准确把握PPP新机制政策和具体实施要求，依法合规处理PPP存量项目，防范新增隐性债务风险，确保财政可持续，经济平稳运行，</w:t>
      </w:r>
      <w:r>
        <w:rPr>
          <w:rFonts w:hint="eastAsia" w:ascii="仿宋" w:hAnsi="仿宋" w:eastAsia="仿宋" w:cs="仿宋"/>
          <w:color w:val="000000" w:themeColor="text1"/>
          <w:sz w:val="28"/>
          <w:szCs w:val="28"/>
          <w:u w:val="none"/>
          <w14:textFill>
            <w14:solidFill>
              <w14:schemeClr w14:val="tx1"/>
            </w14:solidFill>
          </w14:textFill>
        </w:rPr>
        <w:t>中国投资协会</w:t>
      </w:r>
      <w:r>
        <w:rPr>
          <w:rFonts w:hint="eastAsia" w:ascii="仿宋" w:hAnsi="仿宋" w:eastAsia="仿宋" w:cs="仿宋"/>
          <w:color w:val="000000" w:themeColor="text1"/>
          <w:sz w:val="28"/>
          <w:szCs w:val="28"/>
          <w:u w:val="none"/>
          <w:lang w:eastAsia="zh-CN"/>
          <w14:textFill>
            <w14:solidFill>
              <w14:schemeClr w14:val="tx1"/>
            </w14:solidFill>
          </w14:textFill>
        </w:rPr>
        <w:t>培训中心</w:t>
      </w:r>
      <w:r>
        <w:rPr>
          <w:rFonts w:hint="eastAsia" w:ascii="仿宋" w:hAnsi="仿宋" w:eastAsia="仿宋" w:cs="仿宋"/>
          <w:color w:val="000000" w:themeColor="text1"/>
          <w:sz w:val="28"/>
          <w:szCs w:val="28"/>
          <w:u w:val="none"/>
          <w14:textFill>
            <w14:solidFill>
              <w14:schemeClr w14:val="tx1"/>
            </w14:solidFill>
          </w14:textFill>
        </w:rPr>
        <w:t>决定</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举办</w:t>
      </w:r>
      <w:r>
        <w:rPr>
          <w:rFonts w:hint="eastAsia"/>
          <w:b/>
          <w:bCs/>
          <w:lang w:val="en-US" w:eastAsia="en-US"/>
        </w:rPr>
        <w:t>“</w:t>
      </w:r>
      <w:r>
        <w:rPr>
          <w:rFonts w:hint="eastAsia" w:ascii="仿宋" w:hAnsi="仿宋" w:eastAsia="仿宋" w:cs="仿宋"/>
          <w:sz w:val="28"/>
          <w:szCs w:val="28"/>
          <w:u w:val="none"/>
          <w:lang w:val="en-US" w:eastAsia="zh-CN"/>
        </w:rPr>
        <w:t>PPP新机制下基建项目投融资与特许经营项目实务操作</w:t>
      </w:r>
      <w:r>
        <w:rPr>
          <w:rFonts w:hint="eastAsia"/>
          <w:b/>
          <w:bCs/>
          <w:lang w:val="en-US" w:eastAsia="en-US"/>
        </w:rPr>
        <w:t>”</w:t>
      </w:r>
      <w:r>
        <w:rPr>
          <w:rFonts w:hint="eastAsia" w:ascii="仿宋" w:hAnsi="仿宋" w:eastAsia="仿宋" w:cs="仿宋"/>
          <w:sz w:val="28"/>
          <w:szCs w:val="28"/>
          <w:u w:val="none"/>
          <w:lang w:val="en-US" w:eastAsia="zh-CN"/>
        </w:rPr>
        <w:t>专题培训班，现将有关事项通知如下：</w:t>
      </w:r>
    </w:p>
    <w:p>
      <w:pPr>
        <w:keepNext w:val="0"/>
        <w:keepLines w:val="0"/>
        <w:pageBreakBefore w:val="0"/>
        <w:widowControl w:val="0"/>
        <w:kinsoku/>
        <w:wordWrap/>
        <w:overflowPunct/>
        <w:topLinePunct w:val="0"/>
        <w:autoSpaceDE/>
        <w:autoSpaceDN/>
        <w:bidi w:val="0"/>
        <w:adjustRightInd/>
        <w:snapToGrid/>
        <w:spacing w:line="480" w:lineRule="exact"/>
        <w:jc w:val="left"/>
        <w:rPr>
          <w:rFonts w:hint="eastAsia" w:ascii="仿宋" w:hAnsi="仿宋" w:eastAsia="仿宋" w:cs="仿宋"/>
          <w:sz w:val="28"/>
          <w:szCs w:val="28"/>
          <w:u w:val="none"/>
          <w:lang w:val="en-US" w:eastAsia="zh-CN"/>
        </w:rPr>
      </w:pPr>
    </w:p>
    <w:p>
      <w:pPr>
        <w:keepNext w:val="0"/>
        <w:keepLines w:val="0"/>
        <w:pageBreakBefore w:val="0"/>
        <w:widowControl w:val="0"/>
        <w:numPr>
          <w:ilvl w:val="0"/>
          <w:numId w:val="0"/>
        </w:numPr>
        <w:tabs>
          <w:tab w:val="left" w:pos="315"/>
          <w:tab w:val="left" w:pos="567"/>
          <w:tab w:val="left" w:pos="709"/>
        </w:tabs>
        <w:kinsoku/>
        <w:wordWrap/>
        <w:overflowPunct/>
        <w:topLinePunct w:val="0"/>
        <w:autoSpaceDE/>
        <w:autoSpaceDN/>
        <w:bidi w:val="0"/>
        <w:adjustRightInd/>
        <w:snapToGrid w:val="0"/>
        <w:spacing w:line="360" w:lineRule="exact"/>
        <w:textAlignment w:val="baseline"/>
        <w:outlineLvl w:val="0"/>
        <w:rPr>
          <w:rFonts w:hint="eastAsia" w:ascii="仿宋" w:hAnsi="仿宋" w:eastAsia="仿宋" w:cs="仿宋"/>
          <w:b/>
          <w:bCs/>
          <w:color w:val="000000"/>
          <w:sz w:val="28"/>
          <w:szCs w:val="28"/>
          <w:lang w:val="en-US" w:eastAsia="zh-CN"/>
        </w:rPr>
      </w:pPr>
    </w:p>
    <w:p>
      <w:pPr>
        <w:keepNext w:val="0"/>
        <w:keepLines w:val="0"/>
        <w:pageBreakBefore w:val="0"/>
        <w:widowControl w:val="0"/>
        <w:numPr>
          <w:ilvl w:val="0"/>
          <w:numId w:val="0"/>
        </w:numPr>
        <w:tabs>
          <w:tab w:val="left" w:pos="315"/>
          <w:tab w:val="left" w:pos="567"/>
          <w:tab w:val="left" w:pos="709"/>
        </w:tabs>
        <w:kinsoku/>
        <w:wordWrap/>
        <w:overflowPunct/>
        <w:topLinePunct w:val="0"/>
        <w:autoSpaceDE/>
        <w:autoSpaceDN/>
        <w:bidi w:val="0"/>
        <w:adjustRightInd/>
        <w:snapToGrid w:val="0"/>
        <w:spacing w:line="360" w:lineRule="exact"/>
        <w:textAlignment w:val="baseline"/>
        <w:outlineLvl w:val="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一、培训内容：</w:t>
      </w:r>
    </w:p>
    <w:p>
      <w:pPr>
        <w:pStyle w:val="8"/>
        <w:keepNext w:val="0"/>
        <w:keepLines w:val="0"/>
        <w:pageBreakBefore w:val="0"/>
        <w:widowControl w:val="0"/>
        <w:numPr>
          <w:ilvl w:val="0"/>
          <w:numId w:val="0"/>
        </w:numPr>
        <w:kinsoku/>
        <w:wordWrap/>
        <w:overflowPunct/>
        <w:topLinePunct w:val="0"/>
        <w:autoSpaceDE/>
        <w:autoSpaceDN/>
        <w:bidi w:val="0"/>
        <w:adjustRightInd/>
        <w:spacing w:line="360" w:lineRule="exac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第一部分:最新投融资政策解析与实务</w:t>
      </w:r>
      <w:r>
        <w:rPr>
          <w:rFonts w:hint="eastAsia" w:hAnsi="仿宋" w:cs="仿宋"/>
          <w:b/>
          <w:bCs/>
          <w:kern w:val="2"/>
          <w:sz w:val="28"/>
          <w:szCs w:val="28"/>
          <w:lang w:val="en-US" w:eastAsia="zh-CN" w:bidi="ar-SA"/>
        </w:rPr>
        <w:t>（</w:t>
      </w:r>
      <w:r>
        <w:rPr>
          <w:rFonts w:hint="eastAsia" w:ascii="仿宋" w:hAnsi="仿宋" w:eastAsia="仿宋" w:cs="仿宋"/>
          <w:b/>
          <w:bCs/>
          <w:sz w:val="28"/>
          <w:szCs w:val="28"/>
          <w:lang w:val="en-US" w:eastAsia="zh-CN"/>
        </w:rPr>
        <w:t>王</w:t>
      </w:r>
      <w:r>
        <w:rPr>
          <w:rFonts w:hint="eastAsia" w:ascii="仿宋" w:hAnsi="仿宋" w:eastAsia="仿宋" w:cs="仿宋"/>
          <w:b/>
          <w:bCs/>
          <w:kern w:val="2"/>
          <w:sz w:val="28"/>
          <w:szCs w:val="28"/>
          <w:lang w:val="en-US" w:eastAsia="zh-CN" w:bidi="ar-SA"/>
        </w:rPr>
        <w:t>老师</w:t>
      </w:r>
      <w:r>
        <w:rPr>
          <w:rFonts w:hint="eastAsia" w:hAnsi="仿宋" w:cs="仿宋"/>
          <w:b/>
          <w:bCs/>
          <w:kern w:val="2"/>
          <w:sz w:val="28"/>
          <w:szCs w:val="28"/>
          <w:lang w:val="en-US" w:eastAsia="zh-CN" w:bidi="ar-SA"/>
        </w:rPr>
        <w:t>主讲）</w:t>
      </w:r>
    </w:p>
    <w:p>
      <w:pPr>
        <w:keepNext w:val="0"/>
        <w:keepLines w:val="0"/>
        <w:pageBreakBefore w:val="0"/>
        <w:widowControl w:val="0"/>
        <w:numPr>
          <w:ilvl w:val="0"/>
          <w:numId w:val="0"/>
        </w:numPr>
        <w:tabs>
          <w:tab w:val="left" w:pos="315"/>
          <w:tab w:val="left" w:pos="567"/>
          <w:tab w:val="left" w:pos="709"/>
        </w:tabs>
        <w:kinsoku/>
        <w:wordWrap/>
        <w:overflowPunct/>
        <w:topLinePunct w:val="0"/>
        <w:autoSpaceDE/>
        <w:autoSpaceDN/>
        <w:bidi w:val="0"/>
        <w:adjustRightInd/>
        <w:snapToGrid w:val="0"/>
        <w:spacing w:line="360" w:lineRule="exact"/>
        <w:ind w:firstLine="280" w:firstLineChars="100"/>
        <w:textAlignment w:val="baseline"/>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1.《国家发展改革委印发投资项目可行性研究报告编写大纲及说明》（发改投资规〔2023〕304号）解析与实务；</w:t>
      </w:r>
    </w:p>
    <w:p>
      <w:pPr>
        <w:keepNext w:val="0"/>
        <w:keepLines w:val="0"/>
        <w:pageBreakBefore w:val="0"/>
        <w:widowControl w:val="0"/>
        <w:numPr>
          <w:ilvl w:val="0"/>
          <w:numId w:val="0"/>
        </w:numPr>
        <w:tabs>
          <w:tab w:val="left" w:pos="315"/>
          <w:tab w:val="left" w:pos="567"/>
          <w:tab w:val="left" w:pos="709"/>
        </w:tabs>
        <w:kinsoku/>
        <w:wordWrap/>
        <w:overflowPunct/>
        <w:topLinePunct w:val="0"/>
        <w:autoSpaceDE/>
        <w:autoSpaceDN/>
        <w:bidi w:val="0"/>
        <w:adjustRightInd/>
        <w:snapToGrid w:val="0"/>
        <w:spacing w:line="360" w:lineRule="exact"/>
        <w:ind w:firstLine="280" w:firstLineChars="100"/>
        <w:textAlignment w:val="baseline"/>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2.《关于政府和社会资本合作（PPP）存量项目分类处理的意见》（国办函〔2023〕91号）解析及实务；</w:t>
      </w:r>
    </w:p>
    <w:p>
      <w:pPr>
        <w:keepNext w:val="0"/>
        <w:keepLines w:val="0"/>
        <w:pageBreakBefore w:val="0"/>
        <w:widowControl w:val="0"/>
        <w:numPr>
          <w:ilvl w:val="0"/>
          <w:numId w:val="0"/>
        </w:numPr>
        <w:tabs>
          <w:tab w:val="left" w:pos="315"/>
          <w:tab w:val="left" w:pos="567"/>
          <w:tab w:val="left" w:pos="709"/>
        </w:tabs>
        <w:kinsoku/>
        <w:wordWrap/>
        <w:overflowPunct/>
        <w:topLinePunct w:val="0"/>
        <w:autoSpaceDE/>
        <w:autoSpaceDN/>
        <w:bidi w:val="0"/>
        <w:adjustRightInd/>
        <w:snapToGrid w:val="0"/>
        <w:spacing w:line="360" w:lineRule="exact"/>
        <w:ind w:firstLine="280" w:firstLineChars="100"/>
        <w:textAlignment w:val="baseline"/>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3.《关于规范实施政府和社会资本合作（PPP）新机制的指导意见》的通知(国办函〔2023〕115号)解析及实务；</w:t>
      </w:r>
    </w:p>
    <w:p>
      <w:pPr>
        <w:keepNext w:val="0"/>
        <w:keepLines w:val="0"/>
        <w:pageBreakBefore w:val="0"/>
        <w:widowControl w:val="0"/>
        <w:numPr>
          <w:ilvl w:val="0"/>
          <w:numId w:val="0"/>
        </w:numPr>
        <w:tabs>
          <w:tab w:val="left" w:pos="315"/>
          <w:tab w:val="left" w:pos="567"/>
          <w:tab w:val="left" w:pos="709"/>
        </w:tabs>
        <w:kinsoku/>
        <w:wordWrap/>
        <w:overflowPunct/>
        <w:topLinePunct w:val="0"/>
        <w:autoSpaceDE/>
        <w:autoSpaceDN/>
        <w:bidi w:val="0"/>
        <w:adjustRightInd/>
        <w:snapToGrid w:val="0"/>
        <w:spacing w:line="360" w:lineRule="exact"/>
        <w:ind w:firstLine="280" w:firstLineChars="100"/>
        <w:textAlignment w:val="baseline"/>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4.《国务院办公厅关于进一步盘活存量资产扩大有效投资的意见》(国办发〔2022〕19号)解析及实务操作。</w:t>
      </w:r>
    </w:p>
    <w:p>
      <w:pPr>
        <w:pStyle w:val="8"/>
        <w:keepNext w:val="0"/>
        <w:keepLines w:val="0"/>
        <w:pageBreakBefore w:val="0"/>
        <w:widowControl w:val="0"/>
        <w:numPr>
          <w:ilvl w:val="0"/>
          <w:numId w:val="0"/>
        </w:numPr>
        <w:kinsoku/>
        <w:wordWrap/>
        <w:overflowPunct/>
        <w:topLinePunct w:val="0"/>
        <w:autoSpaceDE/>
        <w:autoSpaceDN/>
        <w:bidi w:val="0"/>
        <w:adjustRightInd/>
        <w:spacing w:line="360" w:lineRule="exact"/>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第二部分:</w:t>
      </w:r>
      <w:r>
        <w:rPr>
          <w:rFonts w:hint="eastAsia" w:ascii="仿宋" w:hAnsi="仿宋" w:eastAsia="仿宋" w:cs="仿宋"/>
          <w:b/>
          <w:bCs/>
          <w:sz w:val="28"/>
          <w:szCs w:val="28"/>
          <w:lang w:val="en-US" w:eastAsia="zh-CN"/>
        </w:rPr>
        <w:t>我国财政金融政策和形势对基础设施投融资的影响</w:t>
      </w:r>
      <w:r>
        <w:rPr>
          <w:rFonts w:hint="eastAsia" w:hAnsi="仿宋" w:cs="仿宋"/>
          <w:b/>
          <w:bCs/>
          <w:kern w:val="2"/>
          <w:sz w:val="28"/>
          <w:szCs w:val="28"/>
          <w:lang w:val="en-US" w:eastAsia="zh-CN" w:bidi="ar-SA"/>
        </w:rPr>
        <w:t>（</w:t>
      </w:r>
      <w:r>
        <w:rPr>
          <w:rFonts w:hint="eastAsia" w:ascii="仿宋" w:hAnsi="仿宋" w:eastAsia="仿宋" w:cs="仿宋"/>
          <w:b/>
          <w:bCs/>
          <w:sz w:val="28"/>
          <w:szCs w:val="28"/>
          <w:lang w:val="en-US" w:eastAsia="zh-CN"/>
        </w:rPr>
        <w:t>王</w:t>
      </w:r>
      <w:r>
        <w:rPr>
          <w:rFonts w:hint="eastAsia" w:ascii="仿宋" w:hAnsi="仿宋" w:eastAsia="仿宋" w:cs="仿宋"/>
          <w:b/>
          <w:bCs/>
          <w:kern w:val="2"/>
          <w:sz w:val="28"/>
          <w:szCs w:val="28"/>
          <w:lang w:val="en-US" w:eastAsia="zh-CN" w:bidi="ar-SA"/>
        </w:rPr>
        <w:t>老师</w:t>
      </w:r>
      <w:r>
        <w:rPr>
          <w:rFonts w:hint="eastAsia" w:hAnsi="仿宋" w:cs="仿宋"/>
          <w:b/>
          <w:bCs/>
          <w:kern w:val="2"/>
          <w:sz w:val="28"/>
          <w:szCs w:val="28"/>
          <w:lang w:val="en-US" w:eastAsia="zh-CN" w:bidi="ar-SA"/>
        </w:rPr>
        <w:t>主讲）</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1.我国基础设施投融资的演变与趋势；</w:t>
      </w:r>
    </w:p>
    <w:p>
      <w:pPr>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2.我国财政金融政策的发展脉络；</w:t>
      </w:r>
    </w:p>
    <w:p>
      <w:pPr>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3.当前公共项目投融资的变化与特点；</w:t>
      </w:r>
    </w:p>
    <w:p>
      <w:pPr>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4.国际建筑业发展趋势；</w:t>
      </w:r>
    </w:p>
    <w:p>
      <w:pPr>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5.国际项目投融资模式的演变与展望。</w:t>
      </w:r>
    </w:p>
    <w:p>
      <w:pPr>
        <w:pStyle w:val="8"/>
        <w:keepNext w:val="0"/>
        <w:keepLines w:val="0"/>
        <w:pageBreakBefore w:val="0"/>
        <w:widowControl w:val="0"/>
        <w:numPr>
          <w:ilvl w:val="0"/>
          <w:numId w:val="0"/>
        </w:numPr>
        <w:kinsoku/>
        <w:wordWrap/>
        <w:overflowPunct/>
        <w:topLinePunct w:val="0"/>
        <w:autoSpaceDE/>
        <w:autoSpaceDN/>
        <w:bidi w:val="0"/>
        <w:adjustRightInd/>
        <w:spacing w:line="360" w:lineRule="exac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第三部分:我国政府投融资体制和模式的发展（</w:t>
      </w:r>
      <w:r>
        <w:rPr>
          <w:rFonts w:hint="eastAsia" w:ascii="仿宋" w:hAnsi="仿宋" w:eastAsia="仿宋" w:cs="仿宋"/>
          <w:b/>
          <w:bCs/>
          <w:sz w:val="28"/>
          <w:szCs w:val="28"/>
          <w:lang w:val="en-US" w:eastAsia="zh-CN"/>
        </w:rPr>
        <w:t>王</w:t>
      </w:r>
      <w:r>
        <w:rPr>
          <w:rFonts w:hint="eastAsia" w:ascii="仿宋" w:hAnsi="仿宋" w:eastAsia="仿宋" w:cs="仿宋"/>
          <w:b/>
          <w:bCs/>
          <w:kern w:val="2"/>
          <w:sz w:val="28"/>
          <w:szCs w:val="28"/>
          <w:lang w:val="en-US" w:eastAsia="zh-CN" w:bidi="ar-SA"/>
        </w:rPr>
        <w:t>老师</w:t>
      </w:r>
      <w:r>
        <w:rPr>
          <w:rFonts w:hint="eastAsia" w:hAnsi="仿宋" w:cs="仿宋"/>
          <w:b/>
          <w:bCs/>
          <w:kern w:val="2"/>
          <w:sz w:val="28"/>
          <w:szCs w:val="28"/>
          <w:lang w:val="en-US" w:eastAsia="zh-CN" w:bidi="ar-SA"/>
        </w:rPr>
        <w:t>主讲</w:t>
      </w:r>
      <w:r>
        <w:rPr>
          <w:rFonts w:hint="eastAsia" w:ascii="仿宋" w:hAnsi="仿宋" w:eastAsia="仿宋" w:cs="仿宋"/>
          <w:b/>
          <w:bCs/>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1.公共项目投融资政策和模式的发展；</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2.PPP模式的定义与演变；</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3.PFI模式与特许经营模式的区别与联系；</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4.PPP新机制的国际惯例；</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5.XOD（TOD、EOD、ROD等）模式的内涵与要点；</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6.F+EPC、投资人+EPC等模式的合规性分析。</w:t>
      </w:r>
    </w:p>
    <w:p>
      <w:pPr>
        <w:pStyle w:val="8"/>
        <w:keepNext w:val="0"/>
        <w:keepLines w:val="0"/>
        <w:pageBreakBefore w:val="0"/>
        <w:widowControl w:val="0"/>
        <w:numPr>
          <w:ilvl w:val="0"/>
          <w:numId w:val="0"/>
        </w:numPr>
        <w:kinsoku/>
        <w:wordWrap/>
        <w:overflowPunct/>
        <w:topLinePunct w:val="0"/>
        <w:autoSpaceDE/>
        <w:autoSpaceDN/>
        <w:bidi w:val="0"/>
        <w:adjustRightInd/>
        <w:spacing w:line="360" w:lineRule="exac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第四部分:PPP新机制深度解析（</w:t>
      </w:r>
      <w:r>
        <w:rPr>
          <w:rFonts w:hint="eastAsia" w:ascii="仿宋" w:hAnsi="仿宋" w:eastAsia="仿宋" w:cs="仿宋"/>
          <w:b/>
          <w:bCs/>
          <w:sz w:val="28"/>
          <w:szCs w:val="28"/>
          <w:lang w:val="en-US" w:eastAsia="zh-CN"/>
        </w:rPr>
        <w:t>王</w:t>
      </w:r>
      <w:r>
        <w:rPr>
          <w:rFonts w:hint="eastAsia" w:ascii="仿宋" w:hAnsi="仿宋" w:eastAsia="仿宋" w:cs="仿宋"/>
          <w:b/>
          <w:bCs/>
          <w:kern w:val="2"/>
          <w:sz w:val="28"/>
          <w:szCs w:val="28"/>
          <w:lang w:val="en-US" w:eastAsia="zh-CN" w:bidi="ar-SA"/>
        </w:rPr>
        <w:t>老师</w:t>
      </w:r>
      <w:r>
        <w:rPr>
          <w:rFonts w:hint="eastAsia" w:hAnsi="仿宋" w:cs="仿宋"/>
          <w:b/>
          <w:bCs/>
          <w:kern w:val="2"/>
          <w:sz w:val="28"/>
          <w:szCs w:val="28"/>
          <w:lang w:val="en-US" w:eastAsia="zh-CN" w:bidi="ar-SA"/>
        </w:rPr>
        <w:t>主讲</w:t>
      </w:r>
      <w:r>
        <w:rPr>
          <w:rFonts w:hint="eastAsia" w:ascii="仿宋" w:hAnsi="仿宋" w:eastAsia="仿宋" w:cs="仿宋"/>
          <w:b/>
          <w:bCs/>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1.PPP新机制的政策背景和内在要求；</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2.PPP新机制的主要适用领域和运作模式；</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3.PPP新机制与《政府投资条例》《企业投资核准与备案条例》衔接的最新审批流程和政府监管要求；</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4.政府投资支持和政府付费、可行性缺口补助的关系；</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5.使用者付费特许经营项目的策划及提升项目收益的主要路径；</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6.使用者付费特许经营项目使用财政资金进行支持或补贴的主要方式；</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7.地方城投公司或融资平台参与特许经营项目的有效方式；</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8.特许经营项目公司治理如股权结构设计等。</w:t>
      </w:r>
    </w:p>
    <w:p>
      <w:pPr>
        <w:pStyle w:val="8"/>
        <w:keepNext w:val="0"/>
        <w:keepLines w:val="0"/>
        <w:pageBreakBefore w:val="0"/>
        <w:widowControl w:val="0"/>
        <w:numPr>
          <w:ilvl w:val="0"/>
          <w:numId w:val="0"/>
        </w:numPr>
        <w:kinsoku/>
        <w:wordWrap/>
        <w:overflowPunct/>
        <w:topLinePunct w:val="0"/>
        <w:autoSpaceDE/>
        <w:autoSpaceDN/>
        <w:bidi w:val="0"/>
        <w:adjustRightInd/>
        <w:spacing w:line="360" w:lineRule="exac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第五部分:PPP存量项目分类处理和PPP新机制下特许经营项目实务要点解析（</w:t>
      </w:r>
      <w:r>
        <w:rPr>
          <w:rFonts w:hint="eastAsia" w:ascii="仿宋" w:hAnsi="仿宋" w:eastAsia="仿宋" w:cs="仿宋"/>
          <w:b/>
          <w:bCs/>
          <w:sz w:val="28"/>
          <w:szCs w:val="28"/>
          <w:lang w:val="en-US" w:eastAsia="zh-CN"/>
        </w:rPr>
        <w:t>王</w:t>
      </w:r>
      <w:r>
        <w:rPr>
          <w:rFonts w:hint="eastAsia" w:ascii="仿宋" w:hAnsi="仿宋" w:eastAsia="仿宋" w:cs="仿宋"/>
          <w:b/>
          <w:bCs/>
          <w:kern w:val="2"/>
          <w:sz w:val="28"/>
          <w:szCs w:val="28"/>
          <w:lang w:val="en-US" w:eastAsia="zh-CN" w:bidi="ar-SA"/>
        </w:rPr>
        <w:t>老师</w:t>
      </w:r>
      <w:r>
        <w:rPr>
          <w:rFonts w:hint="eastAsia" w:hAnsi="仿宋" w:cs="仿宋"/>
          <w:b/>
          <w:bCs/>
          <w:kern w:val="2"/>
          <w:sz w:val="28"/>
          <w:szCs w:val="28"/>
          <w:lang w:val="en-US" w:eastAsia="zh-CN" w:bidi="ar-SA"/>
        </w:rPr>
        <w:t>主讲</w:t>
      </w:r>
      <w:r>
        <w:rPr>
          <w:rFonts w:hint="eastAsia" w:ascii="仿宋" w:hAnsi="仿宋" w:eastAsia="仿宋" w:cs="仿宋"/>
          <w:b/>
          <w:bCs/>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1.PPP项目中隐性债务的主要类型和甄别要点；</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2.规避PPP项目中隐性债务的主要方式；</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3.存量PPP项目的认定条件和处理原则；</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4.特许经营项目全生命周期的风险管理（含特许经营期设计、收益分成机制设计、调价机制设计等）；</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5.特许经营方案的编制和评价重点；</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6.特许经营协议的核心条款设计；</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7.特许经营项目如何创新吸引民间投资者参与；</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8.特许经营项目的运营评价；</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9.生态导向的特许经营项目（PPP+EOD）项目实施要点;</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10.特许经营项目实施流程主要步骤、关键环节各参与方职责、落地条件及项目重难点分析。</w:t>
      </w:r>
    </w:p>
    <w:p>
      <w:pPr>
        <w:pStyle w:val="8"/>
        <w:spacing w:line="360" w:lineRule="exact"/>
        <w:ind w:left="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第六部分:基础设施存量资产盘活有关政策及实务关注要点（伍老师</w:t>
      </w:r>
      <w:r>
        <w:rPr>
          <w:rFonts w:hint="eastAsia" w:hAnsi="仿宋" w:cs="仿宋"/>
          <w:b/>
          <w:bCs/>
          <w:kern w:val="2"/>
          <w:sz w:val="28"/>
          <w:szCs w:val="28"/>
          <w:lang w:val="en-US" w:eastAsia="zh-CN" w:bidi="ar-SA"/>
        </w:rPr>
        <w:t>主讲</w:t>
      </w:r>
      <w:r>
        <w:rPr>
          <w:rFonts w:hint="eastAsia" w:ascii="仿宋" w:hAnsi="仿宋" w:eastAsia="仿宋" w:cs="仿宋"/>
          <w:b/>
          <w:bCs/>
          <w:kern w:val="2"/>
          <w:sz w:val="28"/>
          <w:szCs w:val="28"/>
          <w:lang w:val="en-US" w:eastAsia="zh-CN" w:bidi="ar-SA"/>
        </w:rPr>
        <w:t>）</w:t>
      </w:r>
    </w:p>
    <w:p>
      <w:pPr>
        <w:spacing w:line="36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1.盘活存量资产扩大有效投资的时代背景与有关政策导向；</w:t>
      </w:r>
    </w:p>
    <w:p>
      <w:pPr>
        <w:spacing w:line="36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2.存量资产盘活的七大方式及政策要求；</w:t>
      </w:r>
    </w:p>
    <w:p>
      <w:pPr>
        <w:spacing w:line="36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3.通过基础设施REITs方式进行存量资产盘活的实务要点；</w:t>
      </w:r>
    </w:p>
    <w:p>
      <w:pPr>
        <w:spacing w:line="36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4.通过PPP方式进行存量资产盘活的实务要点；</w:t>
      </w:r>
    </w:p>
    <w:p>
      <w:pPr>
        <w:spacing w:line="36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5.存量资产前期手续的合规性要求。</w:t>
      </w:r>
    </w:p>
    <w:p>
      <w:pPr>
        <w:pStyle w:val="8"/>
        <w:spacing w:line="360" w:lineRule="exact"/>
        <w:ind w:left="0" w:firstLine="0" w:firstLineChars="0"/>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第七部分:基础设施REITs底层资产筛选要点和发行要求（伍老师</w:t>
      </w:r>
      <w:r>
        <w:rPr>
          <w:rFonts w:hint="eastAsia" w:hAnsi="仿宋" w:cs="仿宋"/>
          <w:b/>
          <w:bCs/>
          <w:kern w:val="2"/>
          <w:sz w:val="28"/>
          <w:szCs w:val="28"/>
          <w:lang w:val="en-US" w:eastAsia="zh-CN" w:bidi="ar-SA"/>
        </w:rPr>
        <w:t>主讲</w:t>
      </w:r>
      <w:r>
        <w:rPr>
          <w:rFonts w:hint="eastAsia" w:ascii="仿宋" w:hAnsi="仿宋" w:eastAsia="仿宋" w:cs="仿宋"/>
          <w:b/>
          <w:bCs/>
          <w:kern w:val="2"/>
          <w:sz w:val="28"/>
          <w:szCs w:val="28"/>
          <w:lang w:val="en-US" w:eastAsia="zh-CN" w:bidi="ar-SA"/>
        </w:rPr>
        <w:t>）</w:t>
      </w:r>
    </w:p>
    <w:p>
      <w:pPr>
        <w:spacing w:line="36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1.基础设施REITs的核心概念、本质特征和优势分析；</w:t>
      </w:r>
    </w:p>
    <w:p>
      <w:pPr>
        <w:spacing w:line="36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2.基础设施REITs最新政策引导方向；</w:t>
      </w:r>
    </w:p>
    <w:p>
      <w:pPr>
        <w:spacing w:line="36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3.基础设施REITs发行的基本条件和底层资产筛选要点；</w:t>
      </w:r>
    </w:p>
    <w:p>
      <w:pPr>
        <w:spacing w:line="360" w:lineRule="exact"/>
        <w:ind w:firstLine="280" w:firstLineChars="1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4.基础设施REITs视角下理解PPP新机制的引导方向；</w:t>
      </w:r>
    </w:p>
    <w:p>
      <w:pPr>
        <w:spacing w:line="360" w:lineRule="exact"/>
        <w:ind w:firstLine="280" w:firstLineChars="1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5.不同行业基础设施REITs项目的关注要点。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第八部分:地方政府专项债发行最新政策和申报策略（冯老师</w:t>
      </w:r>
      <w:r>
        <w:rPr>
          <w:rFonts w:hint="eastAsia" w:hAnsi="仿宋" w:cs="仿宋"/>
          <w:b/>
          <w:bCs/>
          <w:kern w:val="2"/>
          <w:sz w:val="28"/>
          <w:szCs w:val="28"/>
          <w:lang w:val="en-US" w:eastAsia="zh-CN" w:bidi="ar-SA"/>
        </w:rPr>
        <w:t>主讲</w:t>
      </w:r>
      <w:r>
        <w:rPr>
          <w:rFonts w:hint="eastAsia" w:ascii="仿宋" w:hAnsi="仿宋" w:eastAsia="仿宋" w:cs="仿宋"/>
          <w:b/>
          <w:bCs/>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1.地方政府债券的分类：置换专项债券、新增专项债券、再融资专项债券、自求平衡类型专项债券的指引讲解；</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2.城投公司项目参与专项债的主要路径讲解；</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3.专项债的项目筛选和应用领域、可用作资本金的专项债领域分析；</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4.专项债发行的流程和评估要点、发改和财政系统审核的关注点；</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5.专项债的还款来源梳理；</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6.专项债项目收益增强方式介绍；</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7.打包类（区域、类型、领域）专项债项目如何包装策划；</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8.专项债项目的典型审计风险及应对措施；</w:t>
      </w:r>
    </w:p>
    <w:p>
      <w:pPr>
        <w:keepNext w:val="0"/>
        <w:keepLines w:val="0"/>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9.项目收益专项债券的典型案例（含城投公司主导的区域发展类、生态环保类、交通水利、市政基础设施类、公立医院类、公立高校类、乡村振兴类等）。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仿宋" w:hAnsi="仿宋" w:eastAsia="仿宋" w:cs="仿宋"/>
          <w:b/>
          <w:bCs/>
          <w:kern w:val="2"/>
          <w:sz w:val="28"/>
          <w:szCs w:val="28"/>
          <w:lang w:val="en-US" w:eastAsia="zh-CN" w:bidi="ar-SA"/>
        </w:rPr>
        <w:t>第九部分:EOD模式的操作要点和案例分析（冯老师</w:t>
      </w:r>
      <w:r>
        <w:rPr>
          <w:rFonts w:hint="eastAsia" w:hAnsi="仿宋" w:cs="仿宋"/>
          <w:b/>
          <w:bCs/>
          <w:kern w:val="2"/>
          <w:sz w:val="28"/>
          <w:szCs w:val="28"/>
          <w:lang w:val="en-US" w:eastAsia="zh-CN" w:bidi="ar-SA"/>
        </w:rPr>
        <w:t>主讲</w:t>
      </w:r>
      <w:r>
        <w:rPr>
          <w:rFonts w:hint="eastAsia" w:ascii="仿宋" w:hAnsi="仿宋" w:eastAsia="仿宋" w:cs="仿宋"/>
          <w:b/>
          <w:bCs/>
          <w:kern w:val="2"/>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1.EOD模式产生背景及主要政策解读；</w:t>
      </w:r>
    </w:p>
    <w:p>
      <w:pPr>
        <w:keepNext w:val="0"/>
        <w:keepLines w:val="0"/>
        <w:pageBreakBefore w:val="0"/>
        <w:widowControl w:val="0"/>
        <w:numPr>
          <w:ilvl w:val="0"/>
          <w:numId w:val="0"/>
        </w:numPr>
        <w:tabs>
          <w:tab w:val="left" w:pos="315"/>
          <w:tab w:val="left" w:pos="567"/>
          <w:tab w:val="left" w:pos="709"/>
        </w:tabs>
        <w:kinsoku/>
        <w:wordWrap/>
        <w:overflowPunct/>
        <w:topLinePunct w:val="0"/>
        <w:autoSpaceDE/>
        <w:autoSpaceDN/>
        <w:bidi w:val="0"/>
        <w:adjustRightInd/>
        <w:snapToGrid w:val="0"/>
        <w:spacing w:line="360" w:lineRule="exact"/>
        <w:ind w:firstLine="280" w:firstLineChars="100"/>
        <w:textAlignment w:val="baseline"/>
        <w:outlineLvl w:val="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2.《生态环境导向的开发（EOD）项目实施导则（试行）》（环办科财﹝2023﹞22号）解析及实务；</w:t>
      </w:r>
    </w:p>
    <w:p>
      <w:pPr>
        <w:pStyle w:val="7"/>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3.EOD项目谋划与申报（包含项目边界、开发主体、资金来源、预期收益、运营方案等）；</w:t>
      </w:r>
    </w:p>
    <w:p>
      <w:pPr>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4.EOD项目储备库入库解析及相关入库指南解析；</w:t>
      </w:r>
    </w:p>
    <w:p>
      <w:pPr>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5.EOD项目收益和市场化运作要点（主要收益来源、收支平衡体系、政企权责划分、投资建设一体化）；</w:t>
      </w:r>
    </w:p>
    <w:p>
      <w:pPr>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6.EOD项目的五大开发模式（水环境治理、矿山资源修复、文化旅游、城市更新综合整治、片区开发）及相关案例；</w:t>
      </w:r>
    </w:p>
    <w:p>
      <w:pPr>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7.EOD项目的投融资模式创新（EOD与PPP模式的组合使用、EOD模式下的存量资产盘活、EOD项目如何申请政策性金融支持等）。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第十部分: 最新法律合规框架下的PPP/特许经营项目运作实务（宋老师</w:t>
      </w:r>
      <w:r>
        <w:rPr>
          <w:rFonts w:hint="eastAsia" w:hAnsi="仿宋" w:cs="仿宋"/>
          <w:b/>
          <w:bCs/>
          <w:kern w:val="2"/>
          <w:sz w:val="28"/>
          <w:szCs w:val="28"/>
          <w:lang w:val="en-US" w:eastAsia="zh-CN" w:bidi="ar-SA"/>
        </w:rPr>
        <w:t>主讲</w:t>
      </w:r>
      <w:r>
        <w:rPr>
          <w:rFonts w:hint="eastAsia" w:ascii="仿宋" w:hAnsi="仿宋" w:eastAsia="仿宋" w:cs="仿宋"/>
          <w:b/>
          <w:bCs/>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1.最新政策文件指导下的存量PPP项目合规化整改（包含整改要求、思路、要点，存量PPP项目再谈判、工程及合同变更管理、投资退出安排及争议解决等）；</w:t>
      </w:r>
    </w:p>
    <w:p>
      <w:pPr>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2.新公司法视角下的PPP/特许经营项目公司运作实务（包含项目公司设立路径、资本金出资方案、公司治理结构、股东失权与突破有限责任保护等）；</w:t>
      </w:r>
    </w:p>
    <w:p>
      <w:pPr>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3.民法典新司法解释下的PPP/特许经营协议的核心条款设置（包含协议的性质、行政违规或刑事违法行为对特许经营合同效力的影响等）；</w:t>
      </w:r>
    </w:p>
    <w:p>
      <w:pPr>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4.新民事诉讼法下看PPP/特许经营项目的管理及风险防控策略及方法；</w:t>
      </w:r>
    </w:p>
    <w:p>
      <w:pPr>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5.EOD等特殊项目运作实施要点综述（EOD项目《实施导则》重点问题分析）。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二、授课专家</w:t>
      </w:r>
    </w:p>
    <w:p>
      <w:pPr>
        <w:keepNext w:val="0"/>
        <w:keepLines w:val="0"/>
        <w:pageBreakBefore w:val="0"/>
        <w:widowControl w:val="0"/>
        <w:kinsoku/>
        <w:wordWrap/>
        <w:overflowPunct/>
        <w:topLinePunct w:val="0"/>
        <w:autoSpaceDE/>
        <w:autoSpaceDN/>
        <w:bidi w:val="0"/>
        <w:adjustRightInd/>
        <w:snapToGrid/>
        <w:spacing w:line="360" w:lineRule="exact"/>
        <w:ind w:firstLine="281" w:firstLineChars="1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lang w:val="en-US" w:eastAsia="zh-CN"/>
        </w:rPr>
        <w:t>王守清</w:t>
      </w:r>
      <w:r>
        <w:rPr>
          <w:rFonts w:hint="eastAsia" w:ascii="仿宋" w:hAnsi="仿宋" w:eastAsia="仿宋" w:cs="仿宋"/>
          <w:sz w:val="28"/>
          <w:szCs w:val="28"/>
          <w:lang w:val="en-US" w:eastAsia="zh-CN"/>
        </w:rPr>
        <w:t>：</w:t>
      </w:r>
      <w:r>
        <w:rPr>
          <w:rFonts w:hint="eastAsia" w:ascii="仿宋" w:hAnsi="仿宋" w:eastAsia="仿宋" w:cs="仿宋"/>
          <w:kern w:val="2"/>
          <w:sz w:val="28"/>
          <w:szCs w:val="28"/>
          <w:lang w:val="en-US" w:eastAsia="zh-CN" w:bidi="ar-SA"/>
        </w:rPr>
        <w:t>清华大学投融资政策研究中心首席专家、清华大学恒隆房地产研究中心研究员、清华大学建设管理系退休教授/博导、全国高校PPP论坛学术委员会主任。一直专注于政企合作(PPP，含特许经营/BOT/TOT/PFI等)/项目管理/基建投融资的教研与推广，参与相关政策研讨、项目评审和争议解决。2021年获国际项目管理协会(IPMA)“研究终身成就奖”，是首位获此殊荣的华人，被誉为“中国PPP教父”。</w:t>
      </w:r>
    </w:p>
    <w:p>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281" w:firstLineChars="1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lang w:val="en-US" w:eastAsia="zh-CN"/>
        </w:rPr>
        <w:t>伍迪：</w:t>
      </w:r>
      <w:r>
        <w:rPr>
          <w:rFonts w:hint="eastAsia" w:ascii="仿宋" w:hAnsi="仿宋" w:eastAsia="仿宋" w:cs="仿宋"/>
          <w:kern w:val="2"/>
          <w:sz w:val="28"/>
          <w:szCs w:val="28"/>
          <w:lang w:val="en-US" w:eastAsia="zh-CN" w:bidi="ar-SA"/>
        </w:rPr>
        <w:t>中国国际工程咨询有限公司研究中心投融资咨询处副处长（主持工作）主要从事基础设施项目管理与投融资（REITs、PPP、民间投资、ESG、盘活存量资产等领域）的创新研究和实务咨询，累计接触各类基础设施项目千余个，参与多项国家及地方有关政策的制定、起草与落实推动工作。</w:t>
      </w:r>
    </w:p>
    <w:p>
      <w:pPr>
        <w:keepNext w:val="0"/>
        <w:keepLines w:val="0"/>
        <w:pageBreakBefore w:val="0"/>
        <w:widowControl w:val="0"/>
        <w:kinsoku/>
        <w:wordWrap/>
        <w:overflowPunct/>
        <w:topLinePunct w:val="0"/>
        <w:autoSpaceDE/>
        <w:autoSpaceDN/>
        <w:bidi w:val="0"/>
        <w:adjustRightInd/>
        <w:snapToGrid/>
        <w:spacing w:after="0" w:line="360" w:lineRule="exact"/>
        <w:ind w:firstLine="281" w:firstLineChars="1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冯珂：</w:t>
      </w:r>
      <w:r>
        <w:rPr>
          <w:rFonts w:hint="eastAsia" w:ascii="仿宋" w:hAnsi="仿宋" w:eastAsia="仿宋" w:cs="仿宋"/>
          <w:kern w:val="2"/>
          <w:sz w:val="28"/>
          <w:szCs w:val="28"/>
          <w:lang w:val="en-US" w:eastAsia="zh-CN" w:bidi="ar-SA"/>
        </w:rPr>
        <w:t>北京建筑大学PPP研究中心、建筑供应链金融研究中心专家、中国国际工程咨询有限公司专家库专家等。曾参与国家发改委、财政部、自然科学基金委等委托、资助的PPP相关研究十余项。发表国内外相关专著三十余篇，出版专著《特许经营项目融资(PPP)：实务问答1000例》。参与二十余个PPP项目全过程策划实施，涵盖环卫一体化、厨余垃圾处理、保障房、文化体育等领域。参与多个PPP及特许经营类项目谈判、评审、研究等相关活动。</w:t>
      </w:r>
    </w:p>
    <w:p>
      <w:pPr>
        <w:pStyle w:val="8"/>
        <w:keepNext w:val="0"/>
        <w:keepLines w:val="0"/>
        <w:pageBreakBefore w:val="0"/>
        <w:widowControl w:val="0"/>
        <w:kinsoku/>
        <w:wordWrap/>
        <w:overflowPunct/>
        <w:topLinePunct w:val="0"/>
        <w:autoSpaceDE/>
        <w:autoSpaceDN/>
        <w:bidi w:val="0"/>
        <w:adjustRightInd/>
        <w:snapToGrid/>
        <w:spacing w:line="360" w:lineRule="exact"/>
        <w:ind w:left="0" w:firstLine="281" w:firstLineChars="100"/>
        <w:textAlignment w:val="auto"/>
        <w:rPr>
          <w:rFonts w:hint="eastAsia" w:ascii="仿宋" w:hAnsi="仿宋" w:eastAsia="仿宋" w:cs="仿宋"/>
          <w:b/>
          <w:bCs/>
          <w:kern w:val="2"/>
          <w:sz w:val="28"/>
          <w:szCs w:val="28"/>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360" w:lineRule="exact"/>
        <w:ind w:left="0" w:firstLine="281" w:firstLineChars="1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宋茜：</w:t>
      </w:r>
      <w:r>
        <w:rPr>
          <w:rFonts w:hint="eastAsia" w:ascii="仿宋" w:hAnsi="仿宋" w:eastAsia="仿宋" w:cs="仿宋"/>
          <w:kern w:val="2"/>
          <w:sz w:val="28"/>
          <w:szCs w:val="28"/>
          <w:lang w:val="en-US" w:eastAsia="zh-CN" w:bidi="ar-SA"/>
        </w:rPr>
        <w:t>上海市城市建设设计研究总院(集团) 有限公司法务总监。</w:t>
      </w:r>
    </w:p>
    <w:p>
      <w:pPr>
        <w:pStyle w:val="8"/>
        <w:keepNext w:val="0"/>
        <w:keepLines w:val="0"/>
        <w:pageBreakBefore w:val="0"/>
        <w:widowControl w:val="0"/>
        <w:kinsoku/>
        <w:wordWrap/>
        <w:overflowPunct/>
        <w:topLinePunct w:val="0"/>
        <w:autoSpaceDE/>
        <w:autoSpaceDN/>
        <w:bidi w:val="0"/>
        <w:adjustRightInd/>
        <w:snapToGrid/>
        <w:spacing w:line="360" w:lineRule="exact"/>
        <w:ind w:left="0" w:firstLine="280" w:firstLineChars="1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曾任上海基础设施建设发展(集团》有限公司/上海城建投资发展有限公司风险控制部常务副部长兼首席法律顾问曾任北京市中伦 (上海) 律师事务所资深项目顾问。有6年基础设施投资项目一线管理经验和长达10余年基础设施投融资项目运作、风险管理及咨询经验。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三、主要授课对象：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政府部门：</w:t>
      </w:r>
      <w:r>
        <w:rPr>
          <w:rFonts w:hint="eastAsia" w:ascii="仿宋" w:hAnsi="仿宋" w:eastAsia="仿宋" w:cs="仿宋"/>
          <w:bCs/>
          <w:color w:val="auto"/>
          <w:kern w:val="2"/>
          <w:sz w:val="28"/>
          <w:szCs w:val="28"/>
          <w:lang w:val="en-US" w:eastAsia="zh-CN" w:bidi="ar-SA"/>
        </w:rPr>
        <w:t>主管经济、财政、发改、工信、交通、轨道、环保、市政等部门；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平台机构：</w:t>
      </w:r>
      <w:r>
        <w:rPr>
          <w:rFonts w:hint="eastAsia" w:ascii="仿宋" w:hAnsi="仿宋" w:eastAsia="仿宋" w:cs="仿宋"/>
          <w:bCs/>
          <w:color w:val="auto"/>
          <w:kern w:val="2"/>
          <w:sz w:val="28"/>
          <w:szCs w:val="28"/>
          <w:lang w:val="en-US" w:eastAsia="zh-CN" w:bidi="ar-SA"/>
        </w:rPr>
        <w:t>城投、开投、交投、环投、工投、水投、医投等投资平台公司；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金融机构：</w:t>
      </w:r>
      <w:r>
        <w:rPr>
          <w:rFonts w:hint="eastAsia" w:ascii="仿宋" w:hAnsi="仿宋" w:eastAsia="仿宋" w:cs="仿宋"/>
          <w:bCs/>
          <w:color w:val="auto"/>
          <w:kern w:val="2"/>
          <w:sz w:val="28"/>
          <w:szCs w:val="28"/>
          <w:lang w:val="en-US" w:eastAsia="zh-CN" w:bidi="ar-SA"/>
        </w:rPr>
        <w:t>银行、证券、信托、基金、农信、投行、资管、外汇等机构；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业主单位：</w:t>
      </w:r>
      <w:r>
        <w:rPr>
          <w:rFonts w:hint="eastAsia" w:ascii="仿宋" w:hAnsi="仿宋" w:eastAsia="仿宋" w:cs="仿宋"/>
          <w:bCs/>
          <w:color w:val="auto"/>
          <w:kern w:val="2"/>
          <w:sz w:val="28"/>
          <w:szCs w:val="28"/>
          <w:lang w:val="en-US" w:eastAsia="zh-CN" w:bidi="ar-SA"/>
        </w:rPr>
        <w:t>市政、基建、医院、学校、机场、车站、港口、园区等单位；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建设单位：</w:t>
      </w:r>
      <w:r>
        <w:rPr>
          <w:rFonts w:hint="eastAsia" w:ascii="仿宋" w:hAnsi="仿宋" w:eastAsia="仿宋" w:cs="仿宋"/>
          <w:bCs/>
          <w:color w:val="auto"/>
          <w:kern w:val="2"/>
          <w:sz w:val="28"/>
          <w:szCs w:val="28"/>
          <w:lang w:val="en-US" w:eastAsia="zh-CN" w:bidi="ar-SA"/>
        </w:rPr>
        <w:t>土木、水利、建筑、化工、电子、机械、能源、央国企等大型总包；专业机构：全过程工程咨询、设备、材料、消防等，律师、审计等专业人士。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四、时间及地点</w:t>
      </w:r>
    </w:p>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2024年03月27日— 30日(27日报到) 苏州市</w:t>
      </w:r>
    </w:p>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2024年04月17日— 20日(17日报到) 武汉市</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bCs/>
          <w:kern w:val="2"/>
          <w:sz w:val="28"/>
          <w:szCs w:val="28"/>
          <w:lang w:val="en-US" w:eastAsia="zh-CN" w:bidi="ar-SA"/>
        </w:rPr>
        <w:t>五、培训费用</w:t>
      </w:r>
      <w:r>
        <w:rPr>
          <w:rFonts w:hint="eastAsia" w:ascii="仿宋" w:hAnsi="仿宋" w:eastAsia="仿宋" w:cs="仿宋"/>
          <w:b w:val="0"/>
          <w:bCs/>
          <w:color w:val="auto"/>
          <w:kern w:val="2"/>
          <w:sz w:val="28"/>
          <w:szCs w:val="28"/>
          <w:lang w:val="en-US" w:eastAsia="zh-CN" w:bidi="ar-SA"/>
        </w:rPr>
        <w:tab/>
      </w:r>
    </w:p>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培训费：3800元/人（费用含会务费、资料费、午餐费）</w:t>
      </w:r>
    </w:p>
    <w:p>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280" w:firstLineChars="1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培训期满：由中国投资协会培训中心颁发结业证书。</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六、报名办法及联系方式</w:t>
      </w:r>
    </w:p>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请参加培训班同志认真填写报名回执表,通过传真或电子邮件发至会务组。</w:t>
      </w:r>
    </w:p>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eastAsia" w:ascii="仿宋" w:hAnsi="仿宋" w:eastAsia="仿宋" w:cs="仿宋"/>
          <w:b w:val="0"/>
          <w:bCs/>
          <w:color w:val="auto"/>
          <w:kern w:val="2"/>
          <w:sz w:val="28"/>
          <w:szCs w:val="28"/>
          <w:lang w:val="en-US" w:eastAsia="zh-CN" w:bidi="ar-SA"/>
        </w:rPr>
      </w:pPr>
      <w:permStart w:id="0" w:edGrp="everyone"/>
      <w:r>
        <w:rPr>
          <w:rFonts w:hint="eastAsia" w:ascii="仿宋" w:hAnsi="仿宋" w:eastAsia="仿宋" w:cs="仿宋"/>
          <w:b w:val="0"/>
          <w:bCs/>
          <w:color w:val="auto"/>
          <w:kern w:val="2"/>
          <w:sz w:val="28"/>
          <w:szCs w:val="28"/>
          <w:lang w:val="en-US" w:eastAsia="zh-CN" w:bidi="ar-SA"/>
        </w:rPr>
        <w:t>联 系 人：</w:t>
      </w:r>
      <w:r>
        <w:rPr>
          <w:rFonts w:hint="eastAsia"/>
        </w:rPr>
        <w:t>聂红军</w:t>
      </w:r>
      <w:r>
        <w:rPr>
          <w:rFonts w:hint="eastAsia" w:ascii="仿宋" w:hAnsi="仿宋" w:eastAsia="仿宋" w:cs="仿宋"/>
          <w:b w:val="0"/>
          <w:bCs/>
          <w:color w:val="auto"/>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联系电话：</w:t>
      </w:r>
      <w:r>
        <w:rPr>
          <w:rFonts w:hint="eastAsia"/>
        </w:rPr>
        <w:t>18211071700（微信）13141289128</w:t>
      </w:r>
    </w:p>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邮    箱：</w:t>
      </w:r>
      <w:r>
        <w:rPr>
          <w:rFonts w:hint="eastAsia"/>
        </w:rPr>
        <w:t>470882753@qq.com</w:t>
      </w:r>
      <w:permEnd w:id="0"/>
    </w:p>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default" w:ascii="仿宋" w:hAnsi="仿宋" w:eastAsia="仿宋" w:cs="仿宋"/>
          <w:b w:val="0"/>
          <w:bCs/>
          <w:color w:val="auto"/>
          <w:kern w:val="2"/>
          <w:sz w:val="28"/>
          <w:szCs w:val="28"/>
          <w:lang w:val="en-US" w:eastAsia="zh-CN" w:bidi="ar-SA"/>
        </w:rPr>
      </w:pPr>
      <w:r>
        <w:rPr>
          <w:rFonts w:hint="eastAsia" w:ascii="仿宋_GB2312" w:hAnsi="宋体" w:eastAsia="仿宋_GB2312"/>
          <w:color w:val="000000"/>
          <w:kern w:val="0"/>
          <w:sz w:val="28"/>
          <w:szCs w:val="28"/>
        </w:rPr>
        <w:t>培训中心监督电话:010-63909960     许桂荣</w:t>
      </w:r>
    </w:p>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通讯地址：北京市西城区木樨地北里甲11号国宏大厦A座</w:t>
      </w:r>
    </w:p>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 xml:space="preserve">邮政编码：100038    </w:t>
      </w:r>
    </w:p>
    <w:p>
      <w:pPr>
        <w:keepNext w:val="0"/>
        <w:keepLines w:val="0"/>
        <w:pageBreakBefore w:val="0"/>
        <w:widowControl w:val="0"/>
        <w:kinsoku/>
        <w:wordWrap/>
        <w:overflowPunct/>
        <w:topLinePunct w:val="0"/>
        <w:autoSpaceDE/>
        <w:autoSpaceDN/>
        <w:bidi w:val="0"/>
        <w:adjustRightInd/>
        <w:snapToGrid w:val="0"/>
        <w:spacing w:line="360" w:lineRule="exact"/>
        <w:ind w:firstLine="280" w:firstLineChars="100"/>
        <w:textAlignment w:val="auto"/>
        <w:rPr>
          <w:rFonts w:hint="eastAsia" w:ascii="仿宋" w:hAnsi="仿宋" w:eastAsia="仿宋" w:cs="仿宋"/>
          <w:b w:val="0"/>
          <w:bCs/>
          <w:color w:val="auto"/>
          <w:kern w:val="2"/>
          <w:sz w:val="28"/>
          <w:szCs w:val="28"/>
          <w:lang w:val="en-US" w:eastAsia="zh-CN" w:bidi="ar-SA"/>
        </w:rPr>
      </w:pPr>
      <w:r>
        <w:drawing>
          <wp:anchor distT="0" distB="0" distL="0" distR="0" simplePos="0" relativeHeight="251660288" behindDoc="1" locked="0" layoutInCell="1" allowOverlap="1">
            <wp:simplePos x="0" y="0"/>
            <wp:positionH relativeFrom="column">
              <wp:posOffset>3577590</wp:posOffset>
            </wp:positionH>
            <wp:positionV relativeFrom="paragraph">
              <wp:posOffset>170815</wp:posOffset>
            </wp:positionV>
            <wp:extent cx="1562100" cy="1532890"/>
            <wp:effectExtent l="0" t="0" r="0" b="1016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562100" cy="1532890"/>
                    </a:xfrm>
                    <a:prstGeom prst="rect">
                      <a:avLst/>
                    </a:prstGeom>
                  </pic:spPr>
                </pic:pic>
              </a:graphicData>
            </a:graphic>
          </wp:anchor>
        </w:drawing>
      </w:r>
      <w:r>
        <w:rPr>
          <w:rFonts w:hint="eastAsia" w:ascii="仿宋" w:hAnsi="仿宋" w:eastAsia="仿宋" w:cs="仿宋"/>
          <w:b w:val="0"/>
          <w:bCs/>
          <w:color w:val="auto"/>
          <w:kern w:val="2"/>
          <w:sz w:val="28"/>
          <w:szCs w:val="28"/>
          <w:lang w:val="en-US" w:eastAsia="zh-CN" w:bidi="ar-SA"/>
        </w:rPr>
        <w:t>附件：报名回执表</w:t>
      </w:r>
    </w:p>
    <w:p>
      <w:pPr>
        <w:keepNext w:val="0"/>
        <w:keepLines w:val="0"/>
        <w:pageBreakBefore w:val="0"/>
        <w:widowControl w:val="0"/>
        <w:kinsoku/>
        <w:wordWrap/>
        <w:overflowPunct/>
        <w:topLinePunct w:val="0"/>
        <w:autoSpaceDE/>
        <w:autoSpaceDN/>
        <w:bidi w:val="0"/>
        <w:adjustRightInd/>
        <w:snapToGrid w:val="0"/>
        <w:spacing w:line="360" w:lineRule="exact"/>
        <w:ind w:left="0" w:leftChars="0" w:firstLine="560" w:firstLineChars="200"/>
        <w:textAlignment w:val="auto"/>
        <w:rPr>
          <w:rFonts w:hint="eastAsia" w:ascii="仿宋" w:hAnsi="仿宋" w:eastAsia="仿宋" w:cs="仿宋"/>
          <w:b w:val="0"/>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exact"/>
        <w:ind w:left="0" w:leftChars="0" w:firstLine="560" w:firstLineChars="200"/>
        <w:textAlignment w:val="auto"/>
        <w:rPr>
          <w:rFonts w:hint="eastAsia" w:ascii="仿宋" w:hAnsi="仿宋" w:eastAsia="仿宋" w:cs="仿宋"/>
          <w:b w:val="0"/>
          <w:bCs/>
          <w:color w:val="auto"/>
          <w:kern w:val="2"/>
          <w:sz w:val="28"/>
          <w:szCs w:val="28"/>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360" w:lineRule="exact"/>
        <w:ind w:firstLine="5320" w:firstLineChars="19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sz w:val="28"/>
          <w:szCs w:val="28"/>
        </w:rPr>
        <w:t>中国投资协会</w:t>
      </w:r>
      <w:r>
        <w:rPr>
          <w:rFonts w:hint="eastAsia" w:ascii="仿宋" w:hAnsi="仿宋" w:eastAsia="仿宋" w:cs="仿宋"/>
          <w:b w:val="0"/>
          <w:bCs/>
          <w:sz w:val="28"/>
          <w:szCs w:val="28"/>
          <w:lang w:eastAsia="zh-CN"/>
        </w:rPr>
        <w:t>培训中心</w:t>
      </w:r>
    </w:p>
    <w:p>
      <w:pPr>
        <w:pStyle w:val="8"/>
        <w:keepNext w:val="0"/>
        <w:keepLines w:val="0"/>
        <w:pageBreakBefore w:val="0"/>
        <w:widowControl w:val="0"/>
        <w:kinsoku/>
        <w:wordWrap/>
        <w:overflowPunct/>
        <w:topLinePunct w:val="0"/>
        <w:autoSpaceDE/>
        <w:autoSpaceDN/>
        <w:bidi w:val="0"/>
        <w:adjustRightInd/>
        <w:snapToGrid/>
        <w:spacing w:line="240" w:lineRule="auto"/>
        <w:ind w:left="0" w:firstLine="5880" w:firstLineChars="21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2024年</w:t>
      </w:r>
      <w:r>
        <w:rPr>
          <w:rFonts w:hint="eastAsia" w:hAnsi="仿宋" w:cs="仿宋"/>
          <w:b w:val="0"/>
          <w:bCs/>
          <w:color w:val="auto"/>
          <w:kern w:val="2"/>
          <w:sz w:val="28"/>
          <w:szCs w:val="28"/>
          <w:lang w:val="en-US" w:eastAsia="zh-CN" w:bidi="ar-SA"/>
        </w:rPr>
        <w:t>1</w:t>
      </w:r>
      <w:r>
        <w:rPr>
          <w:rFonts w:hint="eastAsia" w:ascii="仿宋" w:hAnsi="仿宋" w:eastAsia="仿宋" w:cs="仿宋"/>
          <w:b w:val="0"/>
          <w:bCs/>
          <w:color w:val="auto"/>
          <w:kern w:val="2"/>
          <w:sz w:val="28"/>
          <w:szCs w:val="28"/>
          <w:lang w:val="en-US" w:eastAsia="zh-CN" w:bidi="ar-SA"/>
        </w:rPr>
        <w:t>月</w:t>
      </w:r>
      <w:r>
        <w:rPr>
          <w:rFonts w:hint="eastAsia" w:hAnsi="仿宋" w:cs="仿宋"/>
          <w:b w:val="0"/>
          <w:bCs/>
          <w:color w:val="auto"/>
          <w:kern w:val="2"/>
          <w:sz w:val="28"/>
          <w:szCs w:val="28"/>
          <w:lang w:val="en-US" w:eastAsia="zh-CN" w:bidi="ar-SA"/>
        </w:rPr>
        <w:t>8</w:t>
      </w:r>
      <w:r>
        <w:rPr>
          <w:rFonts w:hint="eastAsia" w:ascii="仿宋" w:hAnsi="仿宋" w:eastAsia="仿宋" w:cs="仿宋"/>
          <w:b w:val="0"/>
          <w:bCs/>
          <w:color w:val="auto"/>
          <w:kern w:val="2"/>
          <w:sz w:val="28"/>
          <w:szCs w:val="28"/>
          <w:lang w:val="en-US" w:eastAsia="zh-CN" w:bidi="ar-SA"/>
        </w:rPr>
        <w:t>日</w:t>
      </w:r>
    </w:p>
    <w:p>
      <w:pPr>
        <w:bidi w:val="0"/>
        <w:jc w:val="center"/>
        <w:rPr>
          <w:rFonts w:hint="eastAsia"/>
          <w:b/>
          <w:bCs/>
          <w:lang w:val="en-US" w:eastAsia="en-US"/>
        </w:rPr>
      </w:pPr>
    </w:p>
    <w:p>
      <w:pPr>
        <w:bidi w:val="0"/>
        <w:jc w:val="center"/>
        <w:rPr>
          <w:rFonts w:hint="eastAsia"/>
          <w:b/>
          <w:bCs/>
          <w:lang w:val="en-US" w:eastAsia="en-US"/>
        </w:rPr>
      </w:pPr>
    </w:p>
    <w:p>
      <w:pPr>
        <w:bidi w:val="0"/>
        <w:jc w:val="center"/>
        <w:rPr>
          <w:rFonts w:hint="eastAsia"/>
          <w:b/>
          <w:bCs/>
          <w:lang w:val="en-US" w:eastAsia="en-US"/>
        </w:rPr>
      </w:pPr>
    </w:p>
    <w:p>
      <w:pPr>
        <w:jc w:val="center"/>
        <w:rPr>
          <w:rFonts w:hint="eastAsia" w:ascii="仿宋" w:hAnsi="仿宋" w:eastAsia="仿宋" w:cs="仿宋"/>
          <w:b/>
          <w:bCs/>
          <w:sz w:val="32"/>
          <w:szCs w:val="32"/>
          <w:u w:val="none"/>
          <w:lang w:val="en-US" w:eastAsia="zh-CN"/>
        </w:rPr>
      </w:pPr>
      <w:permStart w:id="1" w:edGrp="everyone"/>
      <w:r>
        <w:rPr>
          <w:rFonts w:hint="eastAsia"/>
          <w:b/>
          <w:bCs/>
          <w:color w:val="000000" w:themeColor="text1"/>
          <w:spacing w:val="-20"/>
          <w:sz w:val="36"/>
          <w:szCs w:val="36"/>
          <w:u w:val="none"/>
          <w14:textFill>
            <w14:solidFill>
              <w14:schemeClr w14:val="tx1"/>
            </w14:solidFill>
          </w14:textFill>
        </w:rPr>
        <w:t>“</w:t>
      </w:r>
      <w:r>
        <w:rPr>
          <w:rFonts w:hint="eastAsia" w:ascii="仿宋" w:hAnsi="仿宋" w:eastAsia="仿宋" w:cs="仿宋"/>
          <w:b/>
          <w:bCs/>
          <w:sz w:val="32"/>
          <w:szCs w:val="32"/>
          <w:lang w:val="en-US" w:eastAsia="zh-CN"/>
        </w:rPr>
        <w:t>PPP新机制下基建项目投融资与特许经营项目实务操作</w:t>
      </w:r>
      <w:r>
        <w:rPr>
          <w:rFonts w:hint="eastAsia"/>
          <w:b/>
          <w:bCs/>
          <w:color w:val="000000" w:themeColor="text1"/>
          <w:spacing w:val="-20"/>
          <w:sz w:val="36"/>
          <w:szCs w:val="36"/>
          <w:u w:val="none"/>
          <w14:textFill>
            <w14:solidFill>
              <w14:schemeClr w14:val="tx1"/>
            </w14:solidFill>
          </w14:textFill>
        </w:rPr>
        <w:t>”</w:t>
      </w:r>
      <w:r>
        <w:rPr>
          <w:rFonts w:hint="eastAsia" w:ascii="仿宋" w:hAnsi="仿宋" w:eastAsia="仿宋" w:cs="仿宋"/>
          <w:b/>
          <w:bCs/>
          <w:sz w:val="32"/>
          <w:szCs w:val="32"/>
          <w:lang w:val="en-US" w:eastAsia="zh-CN"/>
        </w:rPr>
        <w:t>专题培训</w:t>
      </w:r>
      <w:r>
        <w:rPr>
          <w:rFonts w:hint="eastAsia" w:ascii="仿宋" w:hAnsi="仿宋" w:eastAsia="仿宋" w:cs="仿宋"/>
          <w:b/>
          <w:bCs/>
          <w:sz w:val="32"/>
          <w:szCs w:val="32"/>
          <w:u w:val="none"/>
          <w:lang w:val="en-US" w:eastAsia="zh-CN"/>
        </w:rPr>
        <w:t>班回执表</w:t>
      </w:r>
    </w:p>
    <w:tbl>
      <w:tblPr>
        <w:tblStyle w:val="9"/>
        <w:tblW w:w="9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5"/>
        <w:gridCol w:w="645"/>
        <w:gridCol w:w="330"/>
        <w:gridCol w:w="330"/>
        <w:gridCol w:w="840"/>
        <w:gridCol w:w="1200"/>
        <w:gridCol w:w="765"/>
        <w:gridCol w:w="870"/>
        <w:gridCol w:w="540"/>
        <w:gridCol w:w="555"/>
        <w:gridCol w:w="750"/>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单位名称</w:t>
            </w:r>
          </w:p>
        </w:tc>
        <w:tc>
          <w:tcPr>
            <w:tcW w:w="55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行业类别</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单位地址</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邮编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职务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电话/区号</w:t>
            </w:r>
          </w:p>
        </w:tc>
        <w:tc>
          <w:tcPr>
            <w:tcW w:w="3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E-mail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代表姓名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性别</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职务</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电话</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手机</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发票要求</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□增值税普通发票               □增值税专用发票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   点</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1920" w:firstLineChars="8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□苏州                  □武汉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发票信息</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专票请填写</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1-4全部信息</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普票请填写 </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1-2全部信息</w:t>
            </w:r>
          </w:p>
        </w:tc>
        <w:tc>
          <w:tcPr>
            <w:tcW w:w="7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1.开票名称：</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2.纳税人识别号：</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3.地址、电话：</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4.开户行及账号：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住宿安排</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单间        标间      订房数量    间 ； 自行 安排   ; 其他 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费用总额</w:t>
            </w:r>
          </w:p>
        </w:tc>
        <w:tc>
          <w:tcPr>
            <w:tcW w:w="60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     仟     佰    拾     元整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c>
          <w:tcPr>
            <w:tcW w:w="607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请将《报名回执表》回传至会务组，</w:t>
            </w:r>
            <w:r>
              <w:rPr>
                <w:rFonts w:hint="eastAsia"/>
                <w:sz w:val="24"/>
                <w:szCs w:val="24"/>
              </w:rPr>
              <w:t>会务组即发《报到通知附带汇款账号》</w:t>
            </w:r>
            <w:r>
              <w:rPr>
                <w:rFonts w:hint="eastAsia" w:ascii="仿宋" w:hAnsi="仿宋" w:eastAsia="仿宋" w:cs="仿宋"/>
                <w:i w:val="0"/>
                <w:iCs w:val="0"/>
                <w:color w:val="000000"/>
                <w:kern w:val="0"/>
                <w:sz w:val="24"/>
                <w:szCs w:val="24"/>
                <w:u w:val="none"/>
                <w:lang w:val="en-US" w:eastAsia="zh-CN" w:bidi="ar"/>
              </w:rPr>
              <w:t>并在报名3日内办理培训费</w:t>
            </w:r>
            <w:r>
              <w:rPr>
                <w:rFonts w:hint="eastAsia"/>
                <w:sz w:val="24"/>
                <w:szCs w:val="24"/>
              </w:rPr>
              <w:t>，</w:t>
            </w:r>
            <w:r>
              <w:rPr>
                <w:rFonts w:hint="eastAsia" w:ascii="仿宋" w:hAnsi="仿宋" w:eastAsia="仿宋" w:cs="仿宋"/>
                <w:i w:val="0"/>
                <w:iCs w:val="0"/>
                <w:color w:val="000000"/>
                <w:kern w:val="0"/>
                <w:sz w:val="24"/>
                <w:szCs w:val="24"/>
                <w:u w:val="none"/>
                <w:lang w:val="en-US" w:eastAsia="zh-CN" w:bidi="ar"/>
              </w:rPr>
              <w:t>会务组确认到款后即发《</w:t>
            </w:r>
            <w:r>
              <w:rPr>
                <w:rFonts w:hint="eastAsia" w:cs="仿宋"/>
                <w:i w:val="0"/>
                <w:iCs w:val="0"/>
                <w:color w:val="000000"/>
                <w:kern w:val="0"/>
                <w:sz w:val="24"/>
                <w:szCs w:val="24"/>
                <w:u w:val="none"/>
                <w:lang w:val="en-US" w:eastAsia="zh-CN" w:bidi="ar"/>
              </w:rPr>
              <w:t>日程安排</w:t>
            </w:r>
            <w:r>
              <w:rPr>
                <w:rFonts w:hint="eastAsia" w:ascii="仿宋" w:hAnsi="仿宋" w:eastAsia="仿宋" w:cs="仿宋"/>
                <w:i w:val="0"/>
                <w:iCs w:val="0"/>
                <w:color w:val="000000"/>
                <w:kern w:val="0"/>
                <w:sz w:val="24"/>
                <w:szCs w:val="24"/>
                <w:u w:val="none"/>
                <w:lang w:val="en-US" w:eastAsia="zh-CN" w:bidi="ar"/>
              </w:rPr>
              <w:t>》，详细说明培训安排具体事项。</w:t>
            </w:r>
          </w:p>
        </w:tc>
        <w:tc>
          <w:tcPr>
            <w:tcW w:w="21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单位印章</w:t>
            </w:r>
          </w:p>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r>
              <w:rPr>
                <w:rFonts w:hint="eastAsia" w:cs="仿宋"/>
                <w:i w:val="0"/>
                <w:iCs w:val="0"/>
                <w:color w:val="000000"/>
                <w:kern w:val="0"/>
                <w:sz w:val="24"/>
                <w:szCs w:val="24"/>
                <w:u w:val="none"/>
                <w:lang w:val="en-US" w:eastAsia="zh-CN" w:bidi="ar"/>
              </w:rPr>
              <w:t>4</w:t>
            </w:r>
            <w:r>
              <w:rPr>
                <w:rFonts w:hint="eastAsia" w:ascii="仿宋" w:hAnsi="仿宋" w:eastAsia="仿宋" w:cs="仿宋"/>
                <w:i w:val="0"/>
                <w:iCs w:val="0"/>
                <w:color w:val="000000"/>
                <w:kern w:val="0"/>
                <w:sz w:val="24"/>
                <w:szCs w:val="24"/>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60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21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25"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参加本次会议您想学习哪些内容?希望与专家交流的问题?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5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报名联系人：</w:t>
            </w:r>
            <w:r>
              <w:rPr>
                <w:rFonts w:hint="eastAsia"/>
              </w:rPr>
              <w:t>聂红军</w:t>
            </w:r>
            <w:r>
              <w:rPr>
                <w:rFonts w:hint="eastAsia" w:ascii="仿宋" w:hAnsi="仿宋" w:eastAsia="仿宋" w:cs="仿宋"/>
                <w:i w:val="0"/>
                <w:iCs w:val="0"/>
                <w:color w:val="000000"/>
                <w:kern w:val="0"/>
                <w:sz w:val="24"/>
                <w:szCs w:val="24"/>
                <w:u w:val="none"/>
                <w:lang w:val="en-US" w:eastAsia="zh-CN" w:bidi="ar"/>
              </w:rPr>
              <w:t xml:space="preserve"> 电 话：</w:t>
            </w:r>
            <w:r>
              <w:rPr>
                <w:rFonts w:hint="eastAsia"/>
              </w:rPr>
              <w:t>18211071700</w:t>
            </w:r>
            <w:r>
              <w:rPr>
                <w:rFonts w:hint="eastAsia" w:ascii="仿宋" w:hAnsi="仿宋" w:eastAsia="仿宋" w:cs="仿宋"/>
                <w:i w:val="0"/>
                <w:iCs w:val="0"/>
                <w:color w:val="000000"/>
                <w:kern w:val="0"/>
                <w:sz w:val="24"/>
                <w:szCs w:val="24"/>
                <w:u w:val="none"/>
                <w:lang w:val="en-US" w:eastAsia="zh-CN" w:bidi="ar"/>
              </w:rPr>
              <w:t>（微信）邮 箱：</w:t>
            </w:r>
            <w:r>
              <w:rPr>
                <w:rFonts w:hint="eastAsia"/>
              </w:rPr>
              <w:t>470882753</w:t>
            </w:r>
            <w:bookmarkStart w:id="3" w:name="_GoBack"/>
            <w:bookmarkEnd w:id="3"/>
            <w:r>
              <w:rPr>
                <w:rFonts w:hint="eastAsia" w:ascii="仿宋" w:hAnsi="仿宋" w:eastAsia="仿宋" w:cs="仿宋"/>
                <w:i w:val="0"/>
                <w:iCs w:val="0"/>
                <w:color w:val="000000"/>
                <w:kern w:val="0"/>
                <w:sz w:val="24"/>
                <w:szCs w:val="24"/>
                <w:u w:val="none"/>
                <w:lang w:val="en-US" w:eastAsia="zh-CN" w:bidi="ar"/>
              </w:rPr>
              <w:t>@qq.com</w:t>
            </w:r>
          </w:p>
        </w:tc>
      </w:tr>
    </w:tbl>
    <w:p>
      <w:pPr>
        <w:kinsoku w:val="0"/>
        <w:autoSpaceDE w:val="0"/>
        <w:autoSpaceDN w:val="0"/>
        <w:adjustRightInd w:val="0"/>
        <w:snapToGrid w:val="0"/>
        <w:spacing w:before="171" w:line="254" w:lineRule="auto"/>
        <w:ind w:right="215"/>
        <w:jc w:val="left"/>
        <w:textAlignment w:val="baseline"/>
        <w:rPr>
          <w:rFonts w:hint="eastAsia"/>
          <w:lang w:val="en-US" w:eastAsia="zh-CN"/>
        </w:rPr>
      </w:pPr>
      <w:r>
        <w:rPr>
          <w:rFonts w:hint="eastAsia" w:ascii="仿宋" w:hAnsi="仿宋" w:eastAsia="仿宋" w:cs="仿宋"/>
          <w:b/>
          <w:bCs/>
          <w:snapToGrid w:val="0"/>
          <w:color w:val="000000"/>
          <w:spacing w:val="8"/>
          <w:kern w:val="0"/>
          <w:position w:val="1"/>
          <w:sz w:val="24"/>
          <w:szCs w:val="24"/>
          <w:lang w:val="en-US" w:eastAsia="en-US" w:bidi="ar-SA"/>
        </w:rPr>
        <w:t>注</w:t>
      </w:r>
      <w:r>
        <w:rPr>
          <w:rFonts w:hint="eastAsia" w:cs="仿宋"/>
          <w:b/>
          <w:bCs/>
          <w:snapToGrid w:val="0"/>
          <w:color w:val="000000"/>
          <w:spacing w:val="8"/>
          <w:kern w:val="0"/>
          <w:position w:val="1"/>
          <w:sz w:val="24"/>
          <w:szCs w:val="24"/>
          <w:lang w:val="en-US" w:eastAsia="zh-CN" w:bidi="ar-SA"/>
        </w:rPr>
        <w:t>:</w:t>
      </w:r>
      <w:r>
        <w:rPr>
          <w:rFonts w:hint="eastAsia" w:ascii="仿宋" w:hAnsi="仿宋" w:eastAsia="仿宋" w:cs="仿宋"/>
          <w:b/>
          <w:bCs/>
          <w:snapToGrid w:val="0"/>
          <w:color w:val="000000"/>
          <w:spacing w:val="8"/>
          <w:kern w:val="0"/>
          <w:position w:val="1"/>
          <w:sz w:val="24"/>
          <w:szCs w:val="24"/>
          <w:lang w:val="en-US" w:eastAsia="en-US" w:bidi="ar-SA"/>
        </w:rPr>
        <w:t>为保证培训质量，培训班名额有限，额满为止，请确定人员后及早报名；本次培训内容及建筑行业相关培训内容均可赴企业提供内训。</w:t>
      </w:r>
      <w:permEnd w:id="1"/>
    </w:p>
    <w:sectPr>
      <w:pgSz w:w="11906" w:h="16838"/>
      <w:pgMar w:top="1280" w:right="128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Xm1jojHfsybUWoqYwpdbXrobhlE=" w:salt="H3JLMx7sFBcmC26KCJk5s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 w:name="KSO_WPS_MARK_KEY" w:val="4d964579-aaeb-4f31-ba32-5991c44893d6"/>
  </w:docVars>
  <w:rsids>
    <w:rsidRoot w:val="6CB105B1"/>
    <w:rsid w:val="00E94B55"/>
    <w:rsid w:val="00FE586F"/>
    <w:rsid w:val="01BD7A4F"/>
    <w:rsid w:val="028458A5"/>
    <w:rsid w:val="02B97A9C"/>
    <w:rsid w:val="038E76FD"/>
    <w:rsid w:val="065970AA"/>
    <w:rsid w:val="067F3525"/>
    <w:rsid w:val="0A0501E5"/>
    <w:rsid w:val="0B70390A"/>
    <w:rsid w:val="0E634333"/>
    <w:rsid w:val="0F912498"/>
    <w:rsid w:val="101B2262"/>
    <w:rsid w:val="10AE5BBB"/>
    <w:rsid w:val="11E20E0C"/>
    <w:rsid w:val="146E6B13"/>
    <w:rsid w:val="17BA0860"/>
    <w:rsid w:val="1811244B"/>
    <w:rsid w:val="19037FE5"/>
    <w:rsid w:val="1A8B0FE7"/>
    <w:rsid w:val="1B51693A"/>
    <w:rsid w:val="1D503A2E"/>
    <w:rsid w:val="2040567B"/>
    <w:rsid w:val="259D70CC"/>
    <w:rsid w:val="28354699"/>
    <w:rsid w:val="2A074D01"/>
    <w:rsid w:val="2AD510B6"/>
    <w:rsid w:val="2E066B4B"/>
    <w:rsid w:val="2E942E97"/>
    <w:rsid w:val="2F3C5BA7"/>
    <w:rsid w:val="310821E5"/>
    <w:rsid w:val="317909ED"/>
    <w:rsid w:val="34EE6CAB"/>
    <w:rsid w:val="35777939"/>
    <w:rsid w:val="36435A6D"/>
    <w:rsid w:val="36924DF4"/>
    <w:rsid w:val="371C0798"/>
    <w:rsid w:val="37533A8E"/>
    <w:rsid w:val="37600A27"/>
    <w:rsid w:val="37985945"/>
    <w:rsid w:val="390E19B5"/>
    <w:rsid w:val="3AED6428"/>
    <w:rsid w:val="3B4F2338"/>
    <w:rsid w:val="3E775D28"/>
    <w:rsid w:val="3EB86474"/>
    <w:rsid w:val="3ED2798E"/>
    <w:rsid w:val="423E0424"/>
    <w:rsid w:val="436A67A8"/>
    <w:rsid w:val="43884EDC"/>
    <w:rsid w:val="492139EC"/>
    <w:rsid w:val="49A14711"/>
    <w:rsid w:val="4AF173EE"/>
    <w:rsid w:val="4DBF1256"/>
    <w:rsid w:val="50766910"/>
    <w:rsid w:val="519F12CE"/>
    <w:rsid w:val="548712B9"/>
    <w:rsid w:val="55D36D5C"/>
    <w:rsid w:val="59D6437F"/>
    <w:rsid w:val="5B547C51"/>
    <w:rsid w:val="5D131446"/>
    <w:rsid w:val="5D6E3DA4"/>
    <w:rsid w:val="5FF92B75"/>
    <w:rsid w:val="62704A45"/>
    <w:rsid w:val="65A8259F"/>
    <w:rsid w:val="66CD08B8"/>
    <w:rsid w:val="66D6776C"/>
    <w:rsid w:val="67B21EC0"/>
    <w:rsid w:val="689C5678"/>
    <w:rsid w:val="6A731776"/>
    <w:rsid w:val="6CA1081C"/>
    <w:rsid w:val="6CB105B1"/>
    <w:rsid w:val="6DC02D8E"/>
    <w:rsid w:val="6E3A4A84"/>
    <w:rsid w:val="6F9E6F2E"/>
    <w:rsid w:val="71862A82"/>
    <w:rsid w:val="71F17B50"/>
    <w:rsid w:val="74BD6E36"/>
    <w:rsid w:val="76564426"/>
    <w:rsid w:val="79DF42EB"/>
    <w:rsid w:val="7E1A3F8B"/>
    <w:rsid w:val="7F19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28"/>
      <w:szCs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next w:val="5"/>
    <w:autoRedefine/>
    <w:qFormat/>
    <w:uiPriority w:val="0"/>
    <w:pPr>
      <w:tabs>
        <w:tab w:val="left" w:pos="-1440"/>
      </w:tabs>
      <w:spacing w:line="360" w:lineRule="auto"/>
      <w:ind w:left="176" w:firstLine="200" w:firstLineChars="200"/>
    </w:pPr>
    <w:rPr>
      <w:rFonts w:ascii="仿宋" w:hAnsi="Times New Roman" w:eastAsia="仿宋"/>
      <w:sz w:val="24"/>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autoRedefine/>
    <w:qFormat/>
    <w:uiPriority w:val="0"/>
    <w:pPr>
      <w:spacing w:before="240" w:after="60"/>
      <w:jc w:val="center"/>
      <w:outlineLvl w:val="0"/>
    </w:pPr>
    <w:rPr>
      <w:rFonts w:ascii="Arial" w:hAnsi="Arial"/>
      <w:b/>
      <w:sz w:val="32"/>
    </w:rPr>
  </w:style>
  <w:style w:type="paragraph" w:styleId="8">
    <w:name w:val="Body Text First Indent 2"/>
    <w:basedOn w:val="4"/>
    <w:next w:val="1"/>
    <w:autoRedefine/>
    <w:qFormat/>
    <w:uiPriority w:val="99"/>
    <w:pPr>
      <w:ind w:firstLine="420"/>
    </w:pPr>
  </w:style>
  <w:style w:type="character" w:styleId="11">
    <w:name w:val="Strong"/>
    <w:basedOn w:val="10"/>
    <w:autoRedefine/>
    <w:qFormat/>
    <w:uiPriority w:val="0"/>
    <w:rPr>
      <w:b/>
    </w:rPr>
  </w:style>
  <w:style w:type="character" w:styleId="12">
    <w:name w:val="Hyperlink"/>
    <w:basedOn w:val="10"/>
    <w:qFormat/>
    <w:uiPriority w:val="0"/>
    <w:rPr>
      <w:color w:val="0000FF"/>
      <w:u w:val="single"/>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character" w:customStyle="1" w:styleId="14">
    <w:name w:val="font21"/>
    <w:basedOn w:val="10"/>
    <w:autoRedefine/>
    <w:qFormat/>
    <w:uiPriority w:val="0"/>
    <w:rPr>
      <w:rFonts w:hint="default" w:ascii="仿宋_GB2312" w:eastAsia="仿宋_GB2312" w:cs="仿宋_GB2312"/>
      <w:color w:val="000000"/>
      <w:sz w:val="24"/>
      <w:szCs w:val="24"/>
      <w:u w:val="none"/>
    </w:rPr>
  </w:style>
  <w:style w:type="character" w:customStyle="1" w:styleId="15">
    <w:name w:val="font31"/>
    <w:basedOn w:val="10"/>
    <w:autoRedefine/>
    <w:qFormat/>
    <w:uiPriority w:val="0"/>
    <w:rPr>
      <w:rFonts w:hint="eastAsia" w:ascii="仿宋" w:hAnsi="仿宋" w:eastAsia="仿宋" w:cs="仿宋"/>
      <w:color w:val="000000"/>
      <w:sz w:val="24"/>
      <w:szCs w:val="24"/>
      <w:u w:val="none"/>
    </w:rPr>
  </w:style>
  <w:style w:type="character" w:customStyle="1" w:styleId="16">
    <w:name w:val="font51"/>
    <w:basedOn w:val="10"/>
    <w:autoRedefine/>
    <w:qFormat/>
    <w:uiPriority w:val="0"/>
    <w:rPr>
      <w:rFonts w:hint="eastAsia" w:ascii="仿宋" w:hAnsi="仿宋" w:eastAsia="仿宋" w:cs="仿宋"/>
      <w:color w:val="000000"/>
      <w:sz w:val="22"/>
      <w:szCs w:val="22"/>
      <w:u w:val="none"/>
    </w:rPr>
  </w:style>
  <w:style w:type="character" w:customStyle="1" w:styleId="17">
    <w:name w:val="font71"/>
    <w:basedOn w:val="10"/>
    <w:autoRedefine/>
    <w:qFormat/>
    <w:uiPriority w:val="0"/>
    <w:rPr>
      <w:rFonts w:hint="eastAsia" w:ascii="宋体" w:hAnsi="宋体" w:eastAsia="宋体" w:cs="宋体"/>
      <w:color w:val="000000"/>
      <w:sz w:val="21"/>
      <w:szCs w:val="21"/>
      <w:u w:val="none"/>
    </w:rPr>
  </w:style>
  <w:style w:type="character" w:customStyle="1" w:styleId="18">
    <w:name w:val="font11"/>
    <w:basedOn w:val="10"/>
    <w:autoRedefine/>
    <w:qFormat/>
    <w:uiPriority w:val="0"/>
    <w:rPr>
      <w:rFonts w:hint="default" w:ascii="仿宋_GB2312" w:eastAsia="仿宋_GB2312" w:cs="仿宋_GB2312"/>
      <w:color w:val="000000"/>
      <w:sz w:val="24"/>
      <w:szCs w:val="24"/>
      <w:u w:val="none"/>
    </w:rPr>
  </w:style>
  <w:style w:type="character" w:customStyle="1" w:styleId="19">
    <w:name w:val="font41"/>
    <w:basedOn w:val="10"/>
    <w:autoRedefine/>
    <w:qFormat/>
    <w:uiPriority w:val="0"/>
    <w:rPr>
      <w:rFonts w:hint="eastAsia" w:ascii="仿宋" w:hAnsi="仿宋" w:eastAsia="仿宋" w:cs="仿宋"/>
      <w:color w:val="000000"/>
      <w:sz w:val="22"/>
      <w:szCs w:val="22"/>
      <w:u w:val="none"/>
    </w:rPr>
  </w:style>
  <w:style w:type="character" w:customStyle="1" w:styleId="20">
    <w:name w:val="font61"/>
    <w:basedOn w:val="10"/>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4137</Words>
  <Characters>4587</Characters>
  <Lines>0</Lines>
  <Paragraphs>0</Paragraphs>
  <TotalTime>13</TotalTime>
  <ScaleCrop>false</ScaleCrop>
  <LinksUpToDate>false</LinksUpToDate>
  <CharactersWithSpaces>4712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2023-12-31T04:16:00Z</dcterms:created>
  <dc:creator>赵亚成  企事业单位培训服务</dc:creator>
  <cp:lastModifiedBy>聂红军</cp:lastModifiedBy>
  <dcterms:modified xsi:type="dcterms:W3CDTF">2024-02-22T08:10:36Z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B6AA96693387469897E1BCF7818A4B9D_13</vt:lpwstr>
  </property>
</Properties>
</file>