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1"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BeQGcU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F5AZxQLAgAA/wMAAA4AAAAAAAAA&#10;AQAgAAAAKQEAAGRycy9lMm9Eb2MueG1sUEsFBgAAAAAGAAYAWQEAAK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关于举办危大工程安全管控、重大事故隐患排查整治与建筑施工安全双重预防体系建设专题培训班的通知</w:t>
      </w:r>
    </w:p>
    <w:p>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pPr>
        <w:pStyle w:val="8"/>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eastAsia="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05</w:t>
      </w:r>
      <w:r>
        <w:rPr>
          <w:rFonts w:hint="eastAsia" w:ascii="宋体" w:hAnsi="宋体" w:eastAsia="宋体" w:cs="宋体"/>
          <w:b/>
          <w:bCs/>
          <w:color w:val="000000" w:themeColor="text1"/>
          <w:spacing w:val="-12"/>
          <w:sz w:val="28"/>
          <w:szCs w:val="28"/>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2023年我国共发生生产安全事故4.9万起，死亡3.46万人，19起重特大安全事故，安全生产形势异常严峻复杂。近期住房和城乡建设部安全生产管理委员会对多起安全生产事故发出查处督办通知书，要求强化工程施工安全监管，全面排查风险隐患，切实加强建筑施工安全生产管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今年是全面贯彻落实党的二十大精神的开局之年，做好安全生产工作责任重大、任务艰巨。住房和城乡建设部印发《“十四五”建筑业发展规划》提出开展对危险性较大的分部分项工程专项治理，要求到2025年重大安全风险管控和隐患排查治理机制更加健全，安全生产责任体系更加完善，安全科技支撑能力显著增强，施工安全事故得到有效遏制。国家颁布并强制执行的《建筑与市政施工现场安全卫生与职业健康通用规范》（GB55034-2022）、《施工脚手架通用规范》（GB55023-2022），更是把建设工程安全提到新高度</w:t>
      </w:r>
      <w:r>
        <w:rPr>
          <w:rFonts w:hint="eastAsia" w:ascii="仿宋" w:hAnsi="仿宋" w:eastAsia="仿宋" w:cs="仿宋"/>
          <w:i w:val="0"/>
          <w:iCs w:val="0"/>
          <w:caps w:val="0"/>
          <w:color w:val="000000"/>
          <w:spacing w:val="0"/>
          <w:sz w:val="24"/>
          <w:szCs w:val="24"/>
          <w:shd w:val="clear"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了深入学习建设领域最新安全政策、标准规范，分析建设项目安全生产形势与安全责任落实、应急管理和处置措施，进一步加强起重机械、深基坑、高支模等危险性较大的分部分项工程安全风险管控能力，提高工程项目建设中的安全意识、责任意识、法律意识和防范意识，我会决定举办“危大工程安全管控、重大事故隐患排查整治与建筑施工安全双重预防体系建设专题培训班”。本次培训班由中国国际工程咨询协会主办，</w:t>
      </w:r>
      <w:r>
        <w:rPr>
          <w:rFonts w:hint="eastAsia" w:ascii="仿宋" w:hAnsi="仿宋" w:eastAsia="仿宋" w:cs="仿宋"/>
          <w:bCs/>
          <w:color w:val="000000"/>
          <w:sz w:val="28"/>
          <w:szCs w:val="28"/>
        </w:rPr>
        <w:t>北京比时教育咨询有限公司</w:t>
      </w:r>
      <w:r>
        <w:rPr>
          <w:rFonts w:hint="eastAsia" w:ascii="仿宋" w:hAnsi="仿宋" w:eastAsia="仿宋" w:cs="仿宋"/>
          <w:color w:val="000000"/>
          <w:spacing w:val="10"/>
          <w:kern w:val="2"/>
          <w:sz w:val="28"/>
          <w:szCs w:val="28"/>
          <w:shd w:val="clear" w:color="auto" w:fill="auto"/>
          <w:lang w:val="en-US" w:eastAsia="zh-CN" w:bidi="ar-SA"/>
        </w:rPr>
        <w:t>承办，请各单位积极组织相关人员参加。现将有关事宜通知如下：</w:t>
      </w:r>
    </w:p>
    <w:p>
      <w:pPr>
        <w:keepNext w:val="0"/>
        <w:keepLines w:val="0"/>
        <w:pageBreakBefore w:val="0"/>
        <w:tabs>
          <w:tab w:val="left" w:pos="567"/>
          <w:tab w:val="left" w:pos="709"/>
        </w:tabs>
        <w:kinsoku/>
        <w:wordWrap/>
        <w:overflowPunct/>
        <w:topLinePunct w:val="0"/>
        <w:autoSpaceDE/>
        <w:autoSpaceDN/>
        <w:bidi w:val="0"/>
        <w:adjustRightInd/>
        <w:snapToGrid/>
        <w:spacing w:line="540" w:lineRule="exact"/>
        <w:ind w:leftChars="0" w:firstLine="506" w:firstLineChars="200"/>
        <w:textAlignment w:val="baseline"/>
        <w:outlineLvl w:val="0"/>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sz w:val="28"/>
          <w:szCs w:val="28"/>
        </w:rPr>
        <w:t>一、培训内容</w:t>
      </w:r>
    </w:p>
    <w:p>
      <w:pPr>
        <w:keepNext w:val="0"/>
        <w:keepLines w:val="0"/>
        <w:pageBreakBefore w:val="0"/>
        <w:kinsoku/>
        <w:wordWrap/>
        <w:overflowPunct/>
        <w:topLinePunct w:val="0"/>
        <w:autoSpaceDE/>
        <w:autoSpaceDN/>
        <w:bidi w:val="0"/>
        <w:adjustRightInd/>
        <w:snapToGrid/>
        <w:spacing w:line="480" w:lineRule="exact"/>
        <w:ind w:firstLine="506" w:firstLineChars="200"/>
        <w:jc w:val="left"/>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第一部分：</w:t>
      </w:r>
      <w:r>
        <w:rPr>
          <w:rFonts w:hint="eastAsia" w:ascii="仿宋" w:hAnsi="仿宋" w:eastAsia="仿宋" w:cs="仿宋"/>
          <w:b/>
          <w:bCs/>
          <w:color w:val="000000"/>
          <w:spacing w:val="10"/>
          <w:kern w:val="2"/>
          <w:sz w:val="28"/>
          <w:szCs w:val="28"/>
          <w:shd w:val="clear" w:color="auto" w:fill="auto"/>
          <w:lang w:val="en-US" w:eastAsia="zh-CN" w:bidi="ar-SA"/>
        </w:rPr>
        <w:t>建筑施工安全法制建设与强制性通用规范解读</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1.企业主要负责人和安全生产管理人员安全生产方面的基本职责与常见的刑事法律风险；</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2.第一责任人的责任主体和主体责任的认知误区；</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3.法律法规对第一责任人的主体责任规定；</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4.典型的安全事故追责案件辩护实录及精解；</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5.刑辩律师视角下企业主要负责人和安全生产管理人员应如何规避安全事故引发的刑事法律风险；</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6.国标《建筑与市政施工现场安全卫生与职业健康通用规范》GB 55034-2022规范解析。</w:t>
      </w:r>
    </w:p>
    <w:p>
      <w:pPr>
        <w:pStyle w:val="14"/>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default"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第二部分：危大工程安全管控实务</w:t>
      </w:r>
    </w:p>
    <w:p>
      <w:pPr>
        <w:keepNext w:val="0"/>
        <w:keepLines w:val="0"/>
        <w:pageBreakBefore w:val="0"/>
        <w:shd w:val="clear" w:color="auto" w:fill="FFFFFF"/>
        <w:kinsoku/>
        <w:wordWrap/>
        <w:overflowPunct/>
        <w:topLinePunct w:val="0"/>
        <w:autoSpaceDE/>
        <w:autoSpaceDN/>
        <w:bidi w:val="0"/>
        <w:adjustRightInd/>
        <w:snapToGrid/>
        <w:spacing w:line="480" w:lineRule="exact"/>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  </w:t>
      </w:r>
      <w:r>
        <w:rPr>
          <w:rFonts w:hint="eastAsia" w:ascii="仿宋" w:hAnsi="仿宋" w:eastAsia="仿宋" w:cs="仿宋"/>
          <w:b/>
          <w:bCs/>
          <w:color w:val="000000"/>
          <w:spacing w:val="10"/>
          <w:kern w:val="2"/>
          <w:sz w:val="28"/>
          <w:szCs w:val="28"/>
          <w:shd w:val="clear" w:color="auto" w:fill="auto"/>
          <w:lang w:val="en-US" w:eastAsia="zh-CN" w:bidi="ar-SA"/>
        </w:rPr>
        <w:t>（一）建设工程安全风险分级管控与关键技术实务操作</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1.深基坑工程设计施工中的安全问题与管控</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（1）深基坑工程的特点及重点；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（2）深基坑工程的概念设计；</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（3）深基坑工程的施工方法；</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（4）基坑支护结构设计与施工；</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（5）深基坑设计及施工安全问题与管控案例及分析；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2.建筑施工脚手架安全技术标准及案例分析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（1）专项施工方案及论证；</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（2）安全技术标准及监管要点；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3.建筑施工高处作业吊篮安全管理的标准及案例分析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（1）高处作业吊篮施工安全监管现状；</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（2）高处作业吊篮相关标准解读；</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（3）高处作业吊篮事故案例分析；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4.模板支架应用技术。</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（二）</w:t>
      </w:r>
      <w:r>
        <w:rPr>
          <w:rFonts w:hint="eastAsia" w:ascii="仿宋" w:hAnsi="仿宋" w:eastAsia="仿宋" w:cs="仿宋"/>
          <w:b/>
          <w:bCs/>
          <w:color w:val="000000"/>
          <w:w w:val="90"/>
          <w:kern w:val="2"/>
          <w:sz w:val="28"/>
          <w:szCs w:val="28"/>
        </w:rPr>
        <w:t>建设施工过程中安全隐患排查治理</w:t>
      </w:r>
    </w:p>
    <w:p>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1.住建部及各地对于建筑施工安全隐患排查与治理的规范性文件解读；</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2.建设施工工程中安全隐患种类划分；</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3.建设项目安全隐患排查的常用方法；</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4.建设施工过程中安全隐患排查治理的技术应用与创新。</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301" w:firstLineChars="1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spacing w:val="10"/>
          <w:kern w:val="2"/>
          <w:sz w:val="28"/>
          <w:szCs w:val="28"/>
          <w:shd w:val="clear" w:color="auto" w:fill="auto"/>
          <w:lang w:val="en-US" w:eastAsia="zh-CN" w:bidi="ar-SA"/>
        </w:rPr>
        <w:t>（三）</w:t>
      </w:r>
      <w:r>
        <w:rPr>
          <w:rFonts w:hint="eastAsia" w:ascii="仿宋" w:hAnsi="仿宋" w:eastAsia="仿宋" w:cs="仿宋"/>
          <w:b/>
          <w:bCs/>
          <w:color w:val="000000"/>
          <w:w w:val="90"/>
          <w:kern w:val="2"/>
          <w:sz w:val="28"/>
          <w:szCs w:val="28"/>
        </w:rPr>
        <w:t>危大工程安全管理实务</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1.建设工程超过一定规模的危险性较大的分部分项范围；</w:t>
      </w:r>
    </w:p>
    <w:p>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2.危大工程专项施工方案编制、审核、实施及验收中存在的疑点、难点问题解析；</w:t>
      </w:r>
    </w:p>
    <w:p>
      <w:pPr>
        <w:keepNext w:val="0"/>
        <w:keepLines w:val="0"/>
        <w:pageBreakBefore w:val="0"/>
        <w:shd w:val="clear" w:color="auto" w:fill="FFFFFF"/>
        <w:kinsoku/>
        <w:wordWrap/>
        <w:overflowPunct/>
        <w:topLinePunct w:val="0"/>
        <w:autoSpaceDE/>
        <w:autoSpaceDN/>
        <w:bidi w:val="0"/>
        <w:adjustRightInd/>
        <w:snapToGrid/>
        <w:spacing w:line="480" w:lineRule="exact"/>
        <w:ind w:left="833" w:leftChars="284" w:hanging="237" w:hangingChars="79"/>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3.建设各方工程技术风险的控制职责及各阶段的风险控制要点深度解析；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4.危大工程安全违法行为查处、事故问责与刑事责任追究；</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5.安全事故预防与安全管控措施，经验交流等；</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6.大型工程勘察、设计、施工各阶段的风险控制要点；</w:t>
      </w:r>
    </w:p>
    <w:p>
      <w:pPr>
        <w:keepNext w:val="0"/>
        <w:keepLines w:val="0"/>
        <w:pageBreakBefore w:val="0"/>
        <w:shd w:val="clear" w:color="auto" w:fill="FFFFFF"/>
        <w:kinsoku/>
        <w:wordWrap/>
        <w:overflowPunct/>
        <w:topLinePunct w:val="0"/>
        <w:autoSpaceDE/>
        <w:autoSpaceDN/>
        <w:bidi w:val="0"/>
        <w:adjustRightInd/>
        <w:snapToGrid/>
        <w:spacing w:line="480" w:lineRule="exact"/>
        <w:ind w:left="838" w:leftChars="285" w:hanging="240" w:hangingChars="8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7.大型工程技术风险评估报告、总结报告、工作月报等格式要求与要点。</w:t>
      </w:r>
    </w:p>
    <w:p>
      <w:pPr>
        <w:pStyle w:val="14"/>
        <w:keepNext w:val="0"/>
        <w:keepLines w:val="0"/>
        <w:pageBreakBefore w:val="0"/>
        <w:numPr>
          <w:ilvl w:val="0"/>
          <w:numId w:val="0"/>
        </w:numPr>
        <w:kinsoku/>
        <w:wordWrap/>
        <w:overflowPunct/>
        <w:topLinePunct w:val="0"/>
        <w:autoSpaceDE/>
        <w:autoSpaceDN/>
        <w:bidi w:val="0"/>
        <w:adjustRightInd/>
        <w:snapToGrid/>
        <w:spacing w:line="480" w:lineRule="exact"/>
        <w:ind w:firstLine="506" w:firstLineChars="200"/>
        <w:rPr>
          <w:rFonts w:hint="eastAsia" w:ascii="仿宋" w:hAnsi="仿宋" w:eastAsia="仿宋" w:cs="仿宋"/>
          <w:b/>
          <w:bCs/>
          <w:color w:val="000000"/>
          <w:w w:val="90"/>
          <w:kern w:val="2"/>
          <w:sz w:val="28"/>
          <w:szCs w:val="28"/>
          <w:lang w:val="en-US" w:eastAsia="zh-CN" w:bidi="ar-SA"/>
        </w:rPr>
      </w:pPr>
      <w:r>
        <w:rPr>
          <w:rFonts w:hint="eastAsia" w:ascii="仿宋" w:hAnsi="仿宋" w:eastAsia="仿宋" w:cs="仿宋"/>
          <w:b/>
          <w:bCs/>
          <w:color w:val="000000"/>
          <w:w w:val="90"/>
          <w:kern w:val="2"/>
          <w:sz w:val="28"/>
          <w:szCs w:val="28"/>
          <w:lang w:val="en-US" w:eastAsia="zh-CN" w:bidi="ar-SA"/>
        </w:rPr>
        <w:t>第三部分：建筑施工安全双重预防体系建设</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（一）双重预防组织体系建设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1.成立组织机构；</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2.制定工作方案；</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3.明确岗位职责；</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4.完善工作制度；</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5.保障工作经费。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（二）双重预防体系教育培训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1.制定培训计划；</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2.明确培训内容；</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3.分层级开展培训。</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（三）全过程的风险管控管理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1.风险点确定；</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2.危险源辨识与分析；</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3.风险评价；</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4.风险控制措施；</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5.风险分级管控；</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6.风险告知。</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（四）双重预防体系过程管控</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1.管控要求；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2.综合管控；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3.专业管控；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4.动态管控；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5.风险隐患公示；</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微软雅黑" w:hAnsi="微软雅黑" w:eastAsia="微软雅黑" w:cs="微软雅黑"/>
          <w:sz w:val="24"/>
          <w:szCs w:val="24"/>
        </w:rPr>
      </w:pPr>
      <w:r>
        <w:rPr>
          <w:rFonts w:hint="eastAsia" w:ascii="仿宋" w:hAnsi="仿宋" w:eastAsia="仿宋" w:cs="仿宋"/>
          <w:color w:val="000000"/>
          <w:spacing w:val="10"/>
          <w:kern w:val="2"/>
          <w:sz w:val="28"/>
          <w:szCs w:val="28"/>
          <w:shd w:val="clear" w:color="auto" w:fill="auto"/>
          <w:lang w:val="en-US" w:eastAsia="zh-CN" w:bidi="ar-SA"/>
        </w:rPr>
        <w:t>6.信息上报。</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（五）双重预防体系持续改进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1.评估；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2.更新；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3.沟通；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600" w:firstLineChars="200"/>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 xml:space="preserve">4.考核。 </w:t>
      </w:r>
    </w:p>
    <w:p>
      <w:pPr>
        <w:keepNext w:val="0"/>
        <w:keepLines w:val="0"/>
        <w:pageBreakBefore w:val="0"/>
        <w:shd w:val="clear" w:color="auto" w:fill="FFFFFF"/>
        <w:kinsoku/>
        <w:wordWrap/>
        <w:overflowPunct/>
        <w:topLinePunct w:val="0"/>
        <w:autoSpaceDE/>
        <w:autoSpaceDN/>
        <w:bidi w:val="0"/>
        <w:adjustRightInd/>
        <w:snapToGrid/>
        <w:spacing w:line="480" w:lineRule="exact"/>
        <w:ind w:firstLine="300" w:firstLineChars="100"/>
        <w:rPr>
          <w:rFonts w:hint="default"/>
          <w:lang w:val="en-US" w:eastAsia="zh-CN"/>
        </w:rPr>
      </w:pPr>
      <w:r>
        <w:rPr>
          <w:rFonts w:hint="eastAsia" w:ascii="仿宋" w:hAnsi="仿宋" w:eastAsia="仿宋" w:cs="仿宋"/>
          <w:color w:val="000000"/>
          <w:spacing w:val="10"/>
          <w:kern w:val="2"/>
          <w:sz w:val="28"/>
          <w:szCs w:val="28"/>
          <w:shd w:val="clear" w:color="auto" w:fill="auto"/>
          <w:lang w:val="en-US" w:eastAsia="zh-CN" w:bidi="ar-SA"/>
        </w:rPr>
        <w:t xml:space="preserve">（六）双重预防体系的信息化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二、培训对象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主要安全负责人、技术、安全、法务、相关部门负责人员、专职安全生产管理人员；监理单位项目总监和安全监理工程师；设计院总工程师、技术、安全、法务负责人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rPr>
        <w:t>三、授课师资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lang w:val="en-US" w:eastAsia="zh-CN"/>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leftChars="0"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培训时间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2024年4月19日—4月22日   杭州市  (19日全天报到)</w:t>
      </w:r>
    </w:p>
    <w:p>
      <w:pPr>
        <w:spacing w:line="500" w:lineRule="exact"/>
        <w:ind w:firstLine="56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2024年5月24日—5月27日   郑州市 （24日全天报到）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2024年6月14日—6月17日   青岛市 （14日全天报到）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2024年6月27日—6月30日   南昌市 （27日全天报到）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lang w:val="en-US" w:eastAsia="zh-CN" w:bidi="ar-SA"/>
        </w:rPr>
      </w:pPr>
      <w:r>
        <w:rPr>
          <w:rFonts w:hint="eastAsia" w:ascii="仿宋" w:hAnsi="仿宋" w:eastAsia="仿宋" w:cs="宋体"/>
          <w:kern w:val="0"/>
          <w:sz w:val="28"/>
          <w:szCs w:val="28"/>
          <w:shd w:val="clear"/>
          <w:lang w:val="en-US" w:eastAsia="zh-CN" w:bidi="ar-SA"/>
        </w:rPr>
        <w:t>2024年7月12日—7月15日   贵阳市 （12日全天报到）</w:t>
      </w:r>
    </w:p>
    <w:p>
      <w:pPr>
        <w:spacing w:line="500" w:lineRule="exact"/>
        <w:ind w:firstLine="560" w:firstLineChars="200"/>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lang w:val="en-US" w:eastAsia="zh-CN" w:bidi="ar-SA"/>
        </w:rPr>
        <w:t>2024年7月26日—7月29日   西安市 （26日全天报到）</w:t>
      </w:r>
    </w:p>
    <w:p>
      <w:pPr>
        <w:keepNext w:val="0"/>
        <w:keepLines w:val="0"/>
        <w:pageBreakBefore w:val="0"/>
        <w:tabs>
          <w:tab w:val="left" w:pos="567"/>
          <w:tab w:val="left" w:pos="709"/>
        </w:tabs>
        <w:kinsoku/>
        <w:wordWrap/>
        <w:overflowPunct/>
        <w:topLinePunct w:val="0"/>
        <w:autoSpaceDE/>
        <w:autoSpaceDN/>
        <w:bidi w:val="0"/>
        <w:adjustRightInd/>
        <w:snapToGrid/>
        <w:spacing w:line="480" w:lineRule="exact"/>
        <w:ind w:leftChars="0" w:firstLine="506"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rPr>
        <w:t>五、收费标准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A.3880元/人（含培训、资料、电子课件、场地及培训期间午餐），住宿统一安排，费用自理。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5880元/人（含培训、资料、电子课件、场地、证书及培训期间午餐），住宿统一安排，费用自理。证书由我会颁发《安全总监》或《安全管理工程师》”。所需资料:二寸蓝底免冠彩色照片、身份证正反面、学历证书复印件等电子版材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6" w:firstLineChars="200"/>
        <w:textAlignment w:val="auto"/>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lang w:val="en-US" w:eastAsia="zh-CN"/>
        </w:rPr>
        <w:t>六</w:t>
      </w:r>
      <w:r>
        <w:rPr>
          <w:rFonts w:hint="eastAsia" w:ascii="仿宋" w:hAnsi="仿宋" w:eastAsia="仿宋" w:cs="仿宋"/>
          <w:b/>
          <w:bCs/>
          <w:color w:val="000000"/>
          <w:w w:val="90"/>
          <w:sz w:val="28"/>
          <w:szCs w:val="28"/>
        </w:rPr>
        <w:t>、报名办法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 w:firstLineChars="200"/>
        <w:textAlignment w:val="auto"/>
        <w:rPr>
          <w:rFonts w:hint="eastAsia"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 w:firstLineChars="200"/>
        <w:textAlignment w:val="auto"/>
        <w:rPr>
          <w:rFonts w:hint="eastAsia"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 xml:space="preserve">电    话：13141289128        邮    箱：zqgphwz@126.com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04" w:firstLineChars="200"/>
        <w:textAlignment w:val="auto"/>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qq咨询：3177524020          网    址：http://www.zqgpchina.cn</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宋体"/>
          <w:kern w:val="0"/>
          <w:sz w:val="28"/>
          <w:szCs w:val="28"/>
          <w:shd w:val="clear"/>
          <w:lang w:val="en-US" w:eastAsia="zh-CN" w:bidi="ar-SA"/>
        </w:rPr>
        <w:drawing>
          <wp:anchor distT="0" distB="0" distL="114300" distR="114300" simplePos="0" relativeHeight="251661312" behindDoc="1" locked="0" layoutInCell="1" allowOverlap="1">
            <wp:simplePos x="0" y="0"/>
            <wp:positionH relativeFrom="column">
              <wp:posOffset>3407410</wp:posOffset>
            </wp:positionH>
            <wp:positionV relativeFrom="paragraph">
              <wp:posOffset>262255</wp:posOffset>
            </wp:positionV>
            <wp:extent cx="1522095" cy="1511935"/>
            <wp:effectExtent l="0" t="0" r="1905" b="12065"/>
            <wp:wrapNone/>
            <wp:docPr id="10"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中国国际工程咨询协会（无背景）"/>
                    <pic:cNvPicPr>
                      <a:picLocks noChangeAspect="1" noChangeArrowheads="1"/>
                    </pic:cNvPicPr>
                  </pic:nvPicPr>
                  <pic:blipFill>
                    <a:blip r:embed="rId5">
                      <a:lum bright="22000"/>
                    </a:blip>
                    <a:srcRect/>
                    <a:stretch>
                      <a:fillRect/>
                    </a:stretch>
                  </pic:blipFill>
                  <pic:spPr>
                    <a:xfrm>
                      <a:off x="0" y="0"/>
                      <a:ext cx="1522095" cy="1511935"/>
                    </a:xfrm>
                    <a:prstGeom prst="rect">
                      <a:avLst/>
                    </a:prstGeom>
                    <a:noFill/>
                    <a:ln w="9525">
                      <a:noFill/>
                      <a:miter lim="800000"/>
                      <a:headEnd/>
                      <a:tailEnd/>
                    </a:ln>
                  </pic:spPr>
                </pic:pic>
              </a:graphicData>
            </a:graphic>
          </wp:anchor>
        </w:drawing>
      </w:r>
      <w:r>
        <w:rPr>
          <w:rFonts w:hint="eastAsia" w:ascii="仿宋" w:hAnsi="仿宋" w:eastAsia="仿宋"/>
          <w:bCs/>
          <w:color w:val="000000"/>
          <w:w w:val="90"/>
          <w:sz w:val="28"/>
          <w:szCs w:val="28"/>
        </w:rPr>
        <w:t xml:space="preserve">附件：报名回执表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300" w:firstLineChars="100"/>
        <w:textAlignment w:val="auto"/>
        <w:rPr>
          <w:rFonts w:hint="default"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二〇二四一月八日</w:t>
      </w:r>
    </w:p>
    <w:p>
      <w:pPr>
        <w:keepNext w:val="0"/>
        <w:keepLines w:val="0"/>
        <w:pageBreakBefore w:val="0"/>
        <w:tabs>
          <w:tab w:val="left" w:pos="567"/>
          <w:tab w:val="left" w:pos="709"/>
        </w:tabs>
        <w:kinsoku/>
        <w:wordWrap/>
        <w:overflowPunct/>
        <w:topLinePunct w:val="0"/>
        <w:autoSpaceDE/>
        <w:autoSpaceDN/>
        <w:bidi w:val="0"/>
        <w:adjustRightInd/>
        <w:snapToGrid/>
        <w:spacing w:line="400" w:lineRule="exact"/>
        <w:ind w:firstLine="253" w:firstLineChars="100"/>
        <w:jc w:val="center"/>
        <w:textAlignment w:val="baseline"/>
        <w:outlineLvl w:val="0"/>
        <w:rPr>
          <w:rFonts w:ascii="宋体" w:hAnsi="宋体"/>
          <w:b/>
          <w:w w:val="90"/>
          <w:sz w:val="28"/>
          <w:szCs w:val="28"/>
        </w:rPr>
      </w:pPr>
    </w:p>
    <w:p>
      <w:pPr>
        <w:pStyle w:val="8"/>
        <w:ind w:left="0" w:leftChars="0" w:firstLine="0" w:firstLineChars="0"/>
        <w:rPr>
          <w:rFonts w:ascii="宋体" w:hAnsi="宋体"/>
          <w:b/>
          <w:w w:val="90"/>
          <w:sz w:val="28"/>
          <w:szCs w:val="28"/>
        </w:rPr>
      </w:pPr>
    </w:p>
    <w:p>
      <w:pPr>
        <w:tabs>
          <w:tab w:val="left" w:pos="567"/>
          <w:tab w:val="left" w:pos="709"/>
        </w:tabs>
        <w:spacing w:line="240" w:lineRule="auto"/>
        <w:jc w:val="center"/>
        <w:textAlignment w:val="baseline"/>
        <w:outlineLvl w:val="0"/>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pStyle w:val="8"/>
        <w:rPr>
          <w:rFonts w:hint="eastAsia" w:ascii="仿宋" w:hAnsi="仿宋" w:eastAsia="仿宋" w:cs="仿宋_GB2312"/>
          <w:b/>
          <w:bCs/>
          <w:color w:val="000000"/>
          <w:sz w:val="32"/>
          <w:szCs w:val="32"/>
          <w:lang w:val="en-US" w:eastAsia="zh-CN"/>
        </w:rPr>
      </w:pPr>
    </w:p>
    <w:p>
      <w:pPr>
        <w:tabs>
          <w:tab w:val="left" w:pos="567"/>
          <w:tab w:val="left" w:pos="709"/>
        </w:tabs>
        <w:spacing w:line="240" w:lineRule="auto"/>
        <w:ind w:left="1606" w:hanging="1606" w:hangingChars="500"/>
        <w:jc w:val="both"/>
        <w:textAlignment w:val="baseline"/>
        <w:outlineLvl w:val="0"/>
        <w:rPr>
          <w:rFonts w:hint="eastAsia" w:ascii="仿宋" w:hAnsi="仿宋" w:eastAsia="仿宋" w:cs="仿宋_GB2312"/>
          <w:b/>
          <w:bCs/>
          <w:color w:val="000000"/>
          <w:sz w:val="32"/>
          <w:szCs w:val="32"/>
        </w:rPr>
      </w:pPr>
      <w:r>
        <w:rPr>
          <w:rFonts w:hint="eastAsia" w:ascii="仿宋" w:hAnsi="仿宋" w:eastAsia="仿宋" w:cs="仿宋_GB2312"/>
          <w:b/>
          <w:bCs/>
          <w:color w:val="000000"/>
          <w:sz w:val="32"/>
          <w:szCs w:val="32"/>
          <w:lang w:val="en-US" w:eastAsia="zh-CN"/>
        </w:rPr>
        <w:t>危大工程安全管控、重大事故隐患排查整治与建筑施工安全双重预防体系建设</w:t>
      </w:r>
      <w:r>
        <w:rPr>
          <w:rFonts w:hint="eastAsia" w:ascii="仿宋" w:hAnsi="仿宋" w:eastAsia="仿宋" w:cs="仿宋_GB2312"/>
          <w:b/>
          <w:bCs/>
          <w:color w:val="000000"/>
          <w:sz w:val="32"/>
          <w:szCs w:val="32"/>
        </w:rPr>
        <w:t>专题培训班报名回执表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开户名称：北京比时教育咨询有限公司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行：中国工商银行股份有限公司北京公主坟支行</w:t>
            </w:r>
          </w:p>
          <w:p>
            <w:pPr>
              <w:keepNext w:val="0"/>
              <w:keepLines w:val="0"/>
              <w:pageBreakBefore w:val="0"/>
              <w:widowControl w:val="0"/>
              <w:tabs>
                <w:tab w:val="left" w:pos="567"/>
                <w:tab w:val="left" w:pos="709"/>
              </w:tabs>
              <w:kinsoku/>
              <w:wordWrap/>
              <w:overflowPunct/>
              <w:topLinePunct w:val="0"/>
              <w:autoSpaceDE/>
              <w:autoSpaceDN/>
              <w:bidi w:val="0"/>
              <w:adjustRightInd/>
              <w:snapToGrid/>
              <w:spacing w:line="44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号：0200004609200665735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8"/>
              <w:tabs>
                <w:tab w:val="left" w:pos="-1440"/>
              </w:tabs>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ascii="仿宋" w:hAnsi="仿宋" w:eastAsia="仿宋" w:cs="仿宋"/>
                <w:bCs/>
                <w:color w:val="000000" w:themeColor="text1"/>
                <w:sz w:val="28"/>
                <w:szCs w:val="28"/>
                <w14:textFill>
                  <w14:solidFill>
                    <w14:schemeClr w14:val="tx1"/>
                  </w14:solidFill>
                </w14:textFill>
              </w:rPr>
              <w:t>年  月  日</w:t>
            </w:r>
          </w:p>
        </w:tc>
      </w:tr>
    </w:tbl>
    <w:p>
      <w:pPr>
        <w:spacing w:line="400" w:lineRule="exact"/>
        <w:rPr>
          <w:rStyle w:val="11"/>
          <w:rFonts w:hint="eastAsia" w:ascii="仿宋" w:hAnsi="仿宋" w:eastAsia="仿宋" w:cs="仿宋"/>
          <w:b w:val="0"/>
          <w:bCs w:val="0"/>
          <w:color w:val="000000"/>
          <w:sz w:val="28"/>
          <w:szCs w:val="28"/>
          <w:lang w:val="zh-CN"/>
        </w:rPr>
      </w:pPr>
      <w:r>
        <w:rPr>
          <w:rStyle w:val="11"/>
          <w:rFonts w:hint="eastAsia" w:ascii="仿宋" w:hAnsi="仿宋" w:eastAsia="仿宋" w:cs="仿宋"/>
          <w:b w:val="0"/>
          <w:bCs w:val="0"/>
          <w:color w:val="000000"/>
          <w:sz w:val="28"/>
          <w:szCs w:val="28"/>
          <w:lang w:val="zh-CN"/>
        </w:rPr>
        <w:t xml:space="preserve">报名负责人：聂红军 主任18211071700（微信）   </w:t>
      </w:r>
    </w:p>
    <w:p>
      <w:pPr>
        <w:spacing w:line="400" w:lineRule="exact"/>
        <w:rPr>
          <w:rStyle w:val="11"/>
          <w:rFonts w:hint="eastAsia" w:ascii="仿宋" w:hAnsi="仿宋" w:eastAsia="仿宋" w:cs="仿宋"/>
          <w:b w:val="0"/>
          <w:bCs w:val="0"/>
          <w:color w:val="000000"/>
          <w:sz w:val="28"/>
          <w:szCs w:val="28"/>
          <w:lang w:val="zh-CN"/>
        </w:rPr>
      </w:pPr>
      <w:r>
        <w:rPr>
          <w:rStyle w:val="11"/>
          <w:rFonts w:hint="eastAsia" w:ascii="仿宋" w:hAnsi="仿宋" w:eastAsia="仿宋" w:cs="仿宋"/>
          <w:b w:val="0"/>
          <w:bCs w:val="0"/>
          <w:color w:val="000000"/>
          <w:sz w:val="28"/>
          <w:szCs w:val="28"/>
          <w:lang w:val="zh-CN"/>
        </w:rPr>
        <w:t xml:space="preserve">电   话：13141289128        邮    箱：zqgphwz@126.com  </w:t>
      </w:r>
    </w:p>
    <w:p>
      <w:pPr>
        <w:spacing w:line="400" w:lineRule="exact"/>
        <w:rPr>
          <w:rFonts w:ascii="仿宋" w:hAnsi="仿宋" w:eastAsia="仿宋" w:cs="仿宋_GB2312"/>
          <w:bCs/>
          <w:color w:val="000000"/>
          <w:sz w:val="28"/>
          <w:szCs w:val="28"/>
        </w:rPr>
      </w:pPr>
      <w:r>
        <w:rPr>
          <w:rStyle w:val="11"/>
          <w:rFonts w:hint="eastAsia" w:ascii="仿宋" w:hAnsi="仿宋" w:eastAsia="仿宋" w:cs="仿宋"/>
          <w:b w:val="0"/>
          <w:bCs w:val="0"/>
          <w:color w:val="000000"/>
          <w:sz w:val="28"/>
          <w:szCs w:val="28"/>
          <w:lang w:val="zh-CN"/>
        </w:rPr>
        <w:t>qq咨询：317752</w:t>
      </w:r>
      <w:bookmarkStart w:id="0" w:name="_GoBack"/>
      <w:bookmarkEnd w:id="0"/>
      <w:r>
        <w:rPr>
          <w:rStyle w:val="11"/>
          <w:rFonts w:hint="eastAsia" w:ascii="仿宋" w:hAnsi="仿宋" w:eastAsia="仿宋" w:cs="仿宋"/>
          <w:b w:val="0"/>
          <w:bCs w:val="0"/>
          <w:color w:val="000000"/>
          <w:sz w:val="28"/>
          <w:szCs w:val="28"/>
          <w:lang w:val="zh-CN"/>
        </w:rPr>
        <w:t>4020          网    址：http://www.zqgpchina.cn</w:t>
      </w:r>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1BA6E1F"/>
    <w:rsid w:val="03B3582F"/>
    <w:rsid w:val="03CE231F"/>
    <w:rsid w:val="046223BE"/>
    <w:rsid w:val="063F1274"/>
    <w:rsid w:val="07097292"/>
    <w:rsid w:val="07D01B5E"/>
    <w:rsid w:val="07D45C0F"/>
    <w:rsid w:val="0830555A"/>
    <w:rsid w:val="086B2BCC"/>
    <w:rsid w:val="08C2594B"/>
    <w:rsid w:val="094B11BC"/>
    <w:rsid w:val="0A971D96"/>
    <w:rsid w:val="0B30198C"/>
    <w:rsid w:val="0E767C02"/>
    <w:rsid w:val="101133B7"/>
    <w:rsid w:val="105129C5"/>
    <w:rsid w:val="107C6D27"/>
    <w:rsid w:val="1149633E"/>
    <w:rsid w:val="149061D5"/>
    <w:rsid w:val="14AE254B"/>
    <w:rsid w:val="14F2095A"/>
    <w:rsid w:val="15AA6BE9"/>
    <w:rsid w:val="173533D7"/>
    <w:rsid w:val="1FB12AFA"/>
    <w:rsid w:val="22D84291"/>
    <w:rsid w:val="232178B1"/>
    <w:rsid w:val="23F80E16"/>
    <w:rsid w:val="24743B45"/>
    <w:rsid w:val="24DC4D6F"/>
    <w:rsid w:val="26E522F3"/>
    <w:rsid w:val="27F96D69"/>
    <w:rsid w:val="281612B4"/>
    <w:rsid w:val="2944586D"/>
    <w:rsid w:val="2B7546E9"/>
    <w:rsid w:val="2C2354FA"/>
    <w:rsid w:val="2C9F5E1F"/>
    <w:rsid w:val="2DC203B6"/>
    <w:rsid w:val="2E58122D"/>
    <w:rsid w:val="2F555843"/>
    <w:rsid w:val="30ED12C3"/>
    <w:rsid w:val="3391591B"/>
    <w:rsid w:val="33A41AA3"/>
    <w:rsid w:val="343F5187"/>
    <w:rsid w:val="357B0FAE"/>
    <w:rsid w:val="3699743B"/>
    <w:rsid w:val="37610C7D"/>
    <w:rsid w:val="379813FB"/>
    <w:rsid w:val="37C82AE4"/>
    <w:rsid w:val="39491CE4"/>
    <w:rsid w:val="3A2B124D"/>
    <w:rsid w:val="3AD429C2"/>
    <w:rsid w:val="3D2A7B71"/>
    <w:rsid w:val="3D7229E8"/>
    <w:rsid w:val="3E664B6D"/>
    <w:rsid w:val="437B6926"/>
    <w:rsid w:val="438651D3"/>
    <w:rsid w:val="446529ED"/>
    <w:rsid w:val="44A616A1"/>
    <w:rsid w:val="451E56DB"/>
    <w:rsid w:val="458E7036"/>
    <w:rsid w:val="460D2589"/>
    <w:rsid w:val="471843AC"/>
    <w:rsid w:val="47415467"/>
    <w:rsid w:val="4777325F"/>
    <w:rsid w:val="4B6556D7"/>
    <w:rsid w:val="4B8359A5"/>
    <w:rsid w:val="4BE0656F"/>
    <w:rsid w:val="4DB35CBD"/>
    <w:rsid w:val="4DD354BD"/>
    <w:rsid w:val="50957218"/>
    <w:rsid w:val="50C81726"/>
    <w:rsid w:val="5236594B"/>
    <w:rsid w:val="527F2630"/>
    <w:rsid w:val="5453405A"/>
    <w:rsid w:val="54683335"/>
    <w:rsid w:val="55067F3A"/>
    <w:rsid w:val="57CA5049"/>
    <w:rsid w:val="57E15B41"/>
    <w:rsid w:val="5AC66506"/>
    <w:rsid w:val="5BDF1AF2"/>
    <w:rsid w:val="5C3816D7"/>
    <w:rsid w:val="5CD2597C"/>
    <w:rsid w:val="5FB47DE5"/>
    <w:rsid w:val="600F05EB"/>
    <w:rsid w:val="615D0EE2"/>
    <w:rsid w:val="638A686D"/>
    <w:rsid w:val="63B84051"/>
    <w:rsid w:val="648D71A0"/>
    <w:rsid w:val="64A102C0"/>
    <w:rsid w:val="657137AC"/>
    <w:rsid w:val="65CF4766"/>
    <w:rsid w:val="660B5224"/>
    <w:rsid w:val="66EB6240"/>
    <w:rsid w:val="674E429C"/>
    <w:rsid w:val="67684FD9"/>
    <w:rsid w:val="68DB306A"/>
    <w:rsid w:val="699279AE"/>
    <w:rsid w:val="69DE4C53"/>
    <w:rsid w:val="6AC501A8"/>
    <w:rsid w:val="6BAB44AE"/>
    <w:rsid w:val="6DE0518A"/>
    <w:rsid w:val="6F7A39B4"/>
    <w:rsid w:val="6FEC567C"/>
    <w:rsid w:val="707F6656"/>
    <w:rsid w:val="7102558A"/>
    <w:rsid w:val="713F0DB2"/>
    <w:rsid w:val="715E40C3"/>
    <w:rsid w:val="72002506"/>
    <w:rsid w:val="72A23D76"/>
    <w:rsid w:val="74953ACF"/>
    <w:rsid w:val="74E27C24"/>
    <w:rsid w:val="75A16B17"/>
    <w:rsid w:val="75DA632B"/>
    <w:rsid w:val="767F63B8"/>
    <w:rsid w:val="769B49DF"/>
    <w:rsid w:val="76C03B43"/>
    <w:rsid w:val="78415CB0"/>
    <w:rsid w:val="78CC06D3"/>
    <w:rsid w:val="791D53D0"/>
    <w:rsid w:val="796B7EBB"/>
    <w:rsid w:val="79C96EB1"/>
    <w:rsid w:val="79E20DA5"/>
    <w:rsid w:val="7CDE6F23"/>
    <w:rsid w:val="7D597B1F"/>
    <w:rsid w:val="7ED25187"/>
    <w:rsid w:val="7EFE5871"/>
    <w:rsid w:val="7FC0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unhideWhenUsed/>
    <w:qFormat/>
    <w:uiPriority w:val="99"/>
    <w:pPr>
      <w:spacing w:after="120"/>
      <w:ind w:left="420" w:leftChars="200"/>
    </w:p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spacing w:before="100" w:beforeAutospacing="1" w:after="100" w:afterAutospacing="1"/>
      <w:jc w:val="left"/>
    </w:pPr>
    <w:rPr>
      <w:rFonts w:cs="Times New Roman"/>
      <w:kern w:val="0"/>
      <w:sz w:val="24"/>
    </w:rPr>
  </w:style>
  <w:style w:type="paragraph" w:styleId="8">
    <w:name w:val="Body Text First Indent 2"/>
    <w:basedOn w:val="4"/>
    <w:autoRedefine/>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character" w:styleId="11">
    <w:name w:val="Strong"/>
    <w:basedOn w:val="10"/>
    <w:autoRedefine/>
    <w:qFormat/>
    <w:uiPriority w:val="22"/>
    <w:rPr>
      <w:rFonts w:cs="Times New Roman"/>
      <w:b/>
      <w:bCs/>
    </w:rPr>
  </w:style>
  <w:style w:type="character" w:styleId="12">
    <w:name w:val="Emphasis"/>
    <w:basedOn w:val="10"/>
    <w:autoRedefine/>
    <w:qFormat/>
    <w:uiPriority w:val="20"/>
    <w:rPr>
      <w:i/>
      <w:iCs/>
    </w:rPr>
  </w:style>
  <w:style w:type="character" w:styleId="13">
    <w:name w:val="Hyperlink"/>
    <w:basedOn w:val="10"/>
    <w:autoRedefine/>
    <w:qFormat/>
    <w:uiPriority w:val="0"/>
    <w:rPr>
      <w:color w:val="0000FF"/>
      <w:u w:val="single"/>
    </w:rPr>
  </w:style>
  <w:style w:type="paragraph" w:styleId="14">
    <w:name w:val="List Paragraph"/>
    <w:basedOn w:val="1"/>
    <w:autoRedefine/>
    <w:qFormat/>
    <w:uiPriority w:val="34"/>
    <w:pPr>
      <w:ind w:firstLine="420" w:firstLineChars="200"/>
    </w:pPr>
  </w:style>
  <w:style w:type="character" w:customStyle="1" w:styleId="15">
    <w:name w:val="页眉 Char"/>
    <w:basedOn w:val="10"/>
    <w:link w:val="6"/>
    <w:autoRedefine/>
    <w:qFormat/>
    <w:uiPriority w:val="0"/>
    <w:rPr>
      <w:rFonts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28A1F-2CB6-4AB2-AED5-97CDB1DAC649}">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2582</Words>
  <Characters>2869</Characters>
  <Lines>25</Lines>
  <Paragraphs>7</Paragraphs>
  <TotalTime>1</TotalTime>
  <ScaleCrop>false</ScaleCrop>
  <LinksUpToDate>false</LinksUpToDate>
  <CharactersWithSpaces>3068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聂红军</cp:lastModifiedBy>
  <dcterms:modified xsi:type="dcterms:W3CDTF">2024-03-25T09:40:37Z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4D4EEB91CD96429F9A2E6F6EFE033815_13</vt:lpwstr>
  </property>
</Properties>
</file>