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27"/>
          <w:sz w:val="28"/>
          <w:szCs w:val="28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-1056640</wp:posOffset>
            </wp:positionH>
            <wp:positionV relativeFrom="paragraph">
              <wp:posOffset>-961390</wp:posOffset>
            </wp:positionV>
            <wp:extent cx="7736840" cy="10830560"/>
            <wp:effectExtent l="0" t="0" r="16510" b="8890"/>
            <wp:wrapNone/>
            <wp:docPr id="1" name="图片 1" descr="深入实施国有企业改革深化提升行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深入实施国有企业改革深化提升行动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36840" cy="1083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240" w:lineRule="auto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27"/>
          <w:sz w:val="28"/>
          <w:szCs w:val="28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-1038225</wp:posOffset>
            </wp:positionH>
            <wp:positionV relativeFrom="paragraph">
              <wp:posOffset>-971550</wp:posOffset>
            </wp:positionV>
            <wp:extent cx="7689215" cy="10802620"/>
            <wp:effectExtent l="0" t="0" r="6985" b="17780"/>
            <wp:wrapNone/>
            <wp:docPr id="2" name="图片 2" descr="深入实施国有企业改革深化提升行动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深入实施国有企业改革深化提升行动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89215" cy="10802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240" w:lineRule="auto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jc w:val="both"/>
        <w:rPr>
          <w:rFonts w:hint="eastAsia" w:ascii="仿宋" w:hAnsi="仿宋" w:eastAsia="仿宋" w:cs="仿宋"/>
          <w:spacing w:val="-12"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jc w:val="both"/>
        <w:rPr>
          <w:rFonts w:hint="eastAsia" w:ascii="仿宋" w:hAnsi="仿宋" w:eastAsia="仿宋" w:cs="仿宋"/>
          <w:spacing w:val="-12"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jc w:val="both"/>
        <w:rPr>
          <w:rFonts w:hint="eastAsia" w:ascii="仿宋" w:hAnsi="仿宋" w:eastAsia="仿宋" w:cs="仿宋"/>
          <w:spacing w:val="-12"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0"/>
          <w:sz w:val="28"/>
          <w:szCs w:val="28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 w:val="0"/>
        <w:spacing w:line="62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0"/>
          <w:sz w:val="28"/>
          <w:szCs w:val="28"/>
        </w:rPr>
        <w:t>培训内容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6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一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新一轮国企改革深化提升行动解读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1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pacing w:val="0"/>
          <w:sz w:val="28"/>
          <w:szCs w:val="28"/>
        </w:rPr>
        <w:t>新一轮国企改革深化提升行动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的背景；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2.新一轮国企改革深化提升行动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的方向与目标；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pacing w:val="0"/>
          <w:sz w:val="28"/>
          <w:szCs w:val="28"/>
        </w:rPr>
        <w:t>新一轮国企改革深化提升行动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的八大任务解读；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pacing w:val="0"/>
          <w:sz w:val="28"/>
          <w:szCs w:val="28"/>
        </w:rPr>
        <w:t>新一轮国企改革深化提升行动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对人力资源管理的要求。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>（二）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eastAsia="zh-CN"/>
        </w:rPr>
        <w:t>人力资源管理模式创新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1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数字化背景下的国企人力资源管理新理念、新思维；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2.三支柱管理模式下的国企人力资源管理新模式；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3.市场化背景下国企人力资源面临的新困难、新挑战；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4.现代新国企要求下的国企人力资源管理新定位；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5.高质量发展下的国企人力资源管理新机制。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>（三）组织变革与岗位管理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1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组织与组织架构设计；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2.直线制组织模式及要点；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3.直线职能制组织模式及要点；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4.事业部制组织模式及要点；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5.矩阵制组织模式及要点；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6.母子公司制组织模式及要点；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7.组织设计流程及要点；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8.专业分工与岗位划分；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  <w14:textOutline w14:w="562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9.管理幅度及管理层次控制</w:t>
      </w:r>
      <w:r>
        <w:rPr>
          <w:rFonts w:hint="eastAsia" w:ascii="仿宋" w:hAnsi="仿宋" w:eastAsia="仿宋" w:cs="仿宋"/>
          <w:spacing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>（四）人才招聘与人岗匹配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1.人才招聘理念；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2.人才招聘市场分析；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3.人才招聘渠道选择；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4.常用甄选方式分析；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5.招聘中的人才测评方式；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6.面试操作要点与实务；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7.岗位调整与轮岗操作实务。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>（五）人才盘点与人才梯队建设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1人力资源规划核心内容；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2.人才盘点操作要点；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3.人力资源总体规划；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4.人力资源数量、结构及素质规划；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5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pacing w:val="0"/>
          <w:sz w:val="28"/>
          <w:szCs w:val="28"/>
        </w:rPr>
        <w:t>人力资源规划实施要点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6.人才梯队的定义及目标；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7.人才梯队建设的核心原则；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8.人才梯队建设的主要内容；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9.人才梯队库的人才来源；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10.人才梯队建设的流程。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>（六）工资总额预算管理下的国企薪酬制度改革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  <w:t>1.国有企业薪酬绩效改革政策解读；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  <w:t>2.国有企业工资总额预算管理操作实务；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  <w:t>3.国有企业内部分配制度改革的模式与方法；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  <w:t>4.国有企业薪酬改革的操作步骤及要点；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  <w:t>5.国有企业技能人才薪酬分配操作实务；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  <w:t>6.国有企业科技人才薪酬分配操作实务</w:t>
      </w: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>（七）绩效管理操作实务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  <w:lang w:val="en-US" w:eastAsia="zh-CN"/>
        </w:rPr>
        <w:t>1.绩效管理理念创新；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  <w:lang w:val="en-US" w:eastAsia="zh-CN"/>
        </w:rPr>
        <w:t>2.绩效管理模式改革；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  <w:t>国有企业绩效管理的操作要点；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  <w:lang w:val="en-US" w:eastAsia="zh-CN"/>
        </w:rPr>
        <w:t>4.目标管理与绩效考核指标设置；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  <w:lang w:val="en-US" w:eastAsia="zh-CN"/>
        </w:rPr>
        <w:t>5.过程管理与绩效指导与评估；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  <w:lang w:val="en-US" w:eastAsia="zh-CN"/>
        </w:rPr>
        <w:t>6.结果管理与绩效结果刚性兑付；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  <w:lang w:val="en-US" w:eastAsia="zh-CN"/>
        </w:rPr>
        <w:t>7.KPI方法及操作要点；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  <w:lang w:val="en-US" w:eastAsia="zh-CN"/>
        </w:rPr>
        <w:t>8.BSC方法及操作要点；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  <w:lang w:val="en-US" w:eastAsia="zh-CN"/>
        </w:rPr>
        <w:t>9.OKI方法及操作要点。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>（八）中长期激励体系建设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  <w:t xml:space="preserve">1.企业激励体系的结构与要点；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  <w:t>2.中长期激励的模式与内容；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  <w:t>3.国有企业中长期激励的主要问题和主要工具；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  <w:t>4.员工持股操作实务与要点；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  <w:t>5.超额利润分享操作实务与要点；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  <w:t>6.项目跟投操作实务与要点；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  <w:t>7.国有科技型企业中长期激励操作实务与要点。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pacing w:val="0"/>
          <w:sz w:val="28"/>
          <w:szCs w:val="28"/>
        </w:rPr>
        <w:t>、培训对象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中央企业及所属企业、地方国有企业人力资源、组织人事、综合管理、法务、财务、劳动关系、工会等部门负责人，各级政府人社等相关职能部门，有关人力资源服务机构工作人员。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0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pacing w:val="0"/>
          <w:sz w:val="28"/>
          <w:szCs w:val="28"/>
        </w:rPr>
        <w:t>、授课专家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拟邀请国务院国资委所属有关机构、中国人事科学研究院等单位专家，有关央企行政、人事部门负责人，以及现代企业管理领域实战专家授课。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0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pacing w:val="0"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spacing w:val="0"/>
          <w:sz w:val="28"/>
          <w:szCs w:val="28"/>
          <w:lang w:val="en-US" w:eastAsia="zh-CN"/>
        </w:rPr>
        <w:t>培训</w:t>
      </w:r>
      <w:r>
        <w:rPr>
          <w:rFonts w:hint="eastAsia" w:ascii="仿宋" w:hAnsi="仿宋" w:eastAsia="仿宋" w:cs="仿宋"/>
          <w:b/>
          <w:bCs/>
          <w:spacing w:val="0"/>
          <w:sz w:val="28"/>
          <w:szCs w:val="28"/>
        </w:rPr>
        <w:t>时间</w:t>
      </w:r>
      <w:r>
        <w:rPr>
          <w:rFonts w:hint="eastAsia" w:ascii="仿宋" w:hAnsi="仿宋" w:eastAsia="仿宋" w:cs="仿宋"/>
          <w:b/>
          <w:bCs/>
          <w:spacing w:val="0"/>
          <w:sz w:val="28"/>
          <w:szCs w:val="28"/>
          <w:lang w:val="en-US" w:eastAsia="zh-CN"/>
        </w:rPr>
        <w:t>与</w:t>
      </w:r>
      <w:r>
        <w:rPr>
          <w:rFonts w:hint="eastAsia" w:ascii="仿宋" w:hAnsi="仿宋" w:eastAsia="仿宋" w:cs="仿宋"/>
          <w:b/>
          <w:bCs/>
          <w:spacing w:val="0"/>
          <w:sz w:val="28"/>
          <w:szCs w:val="28"/>
        </w:rPr>
        <w:t>地点</w:t>
      </w:r>
    </w:p>
    <w:p>
      <w:pPr>
        <w:spacing w:line="540" w:lineRule="exact"/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2024年4月12日—4月15日   长沙市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（12日全天报到）</w:t>
      </w:r>
    </w:p>
    <w:p>
      <w:pPr>
        <w:spacing w:line="540" w:lineRule="exact"/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2024年4月19日—4月22日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杭州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日全天报到）</w:t>
      </w:r>
    </w:p>
    <w:p>
      <w:pPr>
        <w:spacing w:line="540" w:lineRule="exact"/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2024年5月10日—5月13日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武汉市 （10日全天报到）</w:t>
      </w:r>
    </w:p>
    <w:p>
      <w:pPr>
        <w:spacing w:line="540" w:lineRule="exact"/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2024年5月24日—5月27日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郑州市 （24日全天报到）</w:t>
      </w:r>
    </w:p>
    <w:p>
      <w:pPr>
        <w:spacing w:line="540" w:lineRule="exact"/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2024年6月14日—6月17日   青岛市 （14日全天报到）</w:t>
      </w:r>
    </w:p>
    <w:p>
      <w:pPr>
        <w:spacing w:line="540" w:lineRule="exact"/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2024年6月27日—6月30日   南昌市 （27日全天报到）</w:t>
      </w:r>
    </w:p>
    <w:p>
      <w:pPr>
        <w:spacing w:line="540" w:lineRule="exact"/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2024年7月12日—7月15日   贵阳市 （12日全天报到）</w:t>
      </w:r>
    </w:p>
    <w:p>
      <w:pPr>
        <w:spacing w:line="540" w:lineRule="exact"/>
        <w:ind w:firstLine="560" w:firstLineChars="200"/>
        <w:jc w:val="both"/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2024年7月26日—7月29日   西安市 （26日全天报到）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bCs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pacing w:val="0"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spacing w:val="0"/>
          <w:sz w:val="28"/>
          <w:szCs w:val="28"/>
          <w:lang w:val="en-US" w:eastAsia="zh-CN"/>
        </w:rPr>
        <w:t>收费标准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A.3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88</w:t>
      </w:r>
      <w:r>
        <w:rPr>
          <w:rFonts w:hint="eastAsia" w:ascii="仿宋" w:hAnsi="仿宋" w:eastAsia="仿宋" w:cs="仿宋"/>
          <w:spacing w:val="0"/>
          <w:sz w:val="28"/>
          <w:szCs w:val="28"/>
        </w:rPr>
        <w:t>0 元/人(含培训、资料、电子课件、场地及培训期间午餐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结业证书</w:t>
      </w:r>
      <w:r>
        <w:rPr>
          <w:rFonts w:hint="eastAsia" w:ascii="仿宋" w:hAnsi="仿宋" w:eastAsia="仿宋" w:cs="仿宋"/>
          <w:spacing w:val="0"/>
          <w:sz w:val="28"/>
          <w:szCs w:val="28"/>
        </w:rPr>
        <w:t>),住宿统一安排，费用自理。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B.5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88</w:t>
      </w:r>
      <w:r>
        <w:rPr>
          <w:rFonts w:hint="eastAsia" w:ascii="仿宋" w:hAnsi="仿宋" w:eastAsia="仿宋" w:cs="仿宋"/>
          <w:spacing w:val="0"/>
          <w:sz w:val="28"/>
          <w:szCs w:val="28"/>
        </w:rPr>
        <w:t>0 元/人(含培训、资料、电子课件、场地、证书申报及培训期间午餐),住宿统一安排，费用自理。培训结束后，经考核合格，由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中国投资协会颁发《投融资规划师》证书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或由</w:t>
      </w:r>
      <w:r>
        <w:rPr>
          <w:rFonts w:hint="eastAsia" w:ascii="仿宋" w:hAnsi="仿宋" w:eastAsia="仿宋" w:cs="仿宋"/>
          <w:spacing w:val="0"/>
          <w:sz w:val="28"/>
          <w:szCs w:val="28"/>
        </w:rPr>
        <w:t>中国职业经理人协会颁发《初级职业经理人》证书，需提供申报表、二寸白底免冠彩色照片、身份证复印件、学历证书复印件等电子版材料。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C.13880元/人</w:t>
      </w:r>
      <w:r>
        <w:rPr>
          <w:rFonts w:hint="eastAsia" w:ascii="仿宋" w:hAnsi="仿宋" w:eastAsia="仿宋" w:cs="仿宋"/>
          <w:spacing w:val="0"/>
          <w:sz w:val="28"/>
          <w:szCs w:val="28"/>
        </w:rPr>
        <w:t>(含培训、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中国投资协会的会员证书铜牌【副会长单位价格另议】、</w:t>
      </w:r>
      <w:r>
        <w:rPr>
          <w:rFonts w:hint="eastAsia" w:ascii="仿宋" w:hAnsi="仿宋" w:eastAsia="仿宋" w:cs="仿宋"/>
          <w:spacing w:val="0"/>
          <w:sz w:val="28"/>
          <w:szCs w:val="28"/>
        </w:rPr>
        <w:t>资料、电子课件、场地及培训期间午餐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结业证书</w:t>
      </w:r>
      <w:r>
        <w:rPr>
          <w:rFonts w:hint="eastAsia" w:ascii="仿宋" w:hAnsi="仿宋" w:eastAsia="仿宋" w:cs="仿宋"/>
          <w:spacing w:val="0"/>
          <w:sz w:val="28"/>
          <w:szCs w:val="28"/>
        </w:rPr>
        <w:t>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before="224" w:line="540" w:lineRule="exact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14:textOutline w14:w="5448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附件2：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“深入实施国有企业改革深化提升行动背景下，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人力资源管理创新、梯队建设、薪酬绩效管理实务研修班”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jc w:val="center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报名回执表</w:t>
      </w:r>
    </w:p>
    <w:tbl>
      <w:tblPr>
        <w:tblStyle w:val="7"/>
        <w:tblpPr w:leftFromText="180" w:rightFromText="180" w:vertAnchor="text" w:horzAnchor="page" w:tblpX="1225" w:tblpY="287"/>
        <w:tblW w:w="9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854"/>
        <w:gridCol w:w="1293"/>
        <w:gridCol w:w="1952"/>
        <w:gridCol w:w="1896"/>
        <w:gridCol w:w="2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4099" w:type="dxa"/>
            <w:gridSpan w:val="3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邮 编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8159" w:type="dxa"/>
            <w:gridSpan w:val="5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联 系 人</w:t>
            </w:r>
          </w:p>
        </w:tc>
        <w:tc>
          <w:tcPr>
            <w:tcW w:w="2147" w:type="dxa"/>
            <w:gridSpan w:val="2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职    务</w:t>
            </w:r>
          </w:p>
        </w:tc>
        <w:tc>
          <w:tcPr>
            <w:tcW w:w="4060" w:type="dxa"/>
            <w:gridSpan w:val="2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手    机</w:t>
            </w:r>
          </w:p>
        </w:tc>
        <w:tc>
          <w:tcPr>
            <w:tcW w:w="2147" w:type="dxa"/>
            <w:gridSpan w:val="2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4060" w:type="dxa"/>
            <w:gridSpan w:val="2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传    真</w:t>
            </w:r>
          </w:p>
        </w:tc>
        <w:tc>
          <w:tcPr>
            <w:tcW w:w="2147" w:type="dxa"/>
            <w:gridSpan w:val="2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电子信箱</w:t>
            </w:r>
          </w:p>
        </w:tc>
        <w:tc>
          <w:tcPr>
            <w:tcW w:w="4060" w:type="dxa"/>
            <w:gridSpan w:val="2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参训人员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性 别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职  务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电    话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手  机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邮 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参训时间</w:t>
            </w:r>
          </w:p>
        </w:tc>
        <w:tc>
          <w:tcPr>
            <w:tcW w:w="2147" w:type="dxa"/>
            <w:gridSpan w:val="2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参训地点</w:t>
            </w:r>
          </w:p>
        </w:tc>
        <w:tc>
          <w:tcPr>
            <w:tcW w:w="4060" w:type="dxa"/>
            <w:gridSpan w:val="2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住宿标准</w:t>
            </w:r>
          </w:p>
        </w:tc>
        <w:tc>
          <w:tcPr>
            <w:tcW w:w="8159" w:type="dxa"/>
            <w:gridSpan w:val="5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单住□   合住□   自理□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证书申报</w:t>
            </w:r>
          </w:p>
        </w:tc>
        <w:tc>
          <w:tcPr>
            <w:tcW w:w="8159" w:type="dxa"/>
            <w:gridSpan w:val="5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初级职业经理人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证书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投融资规划师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证书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付款方式</w:t>
            </w:r>
          </w:p>
        </w:tc>
        <w:tc>
          <w:tcPr>
            <w:tcW w:w="4099" w:type="dxa"/>
            <w:gridSpan w:val="3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银行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转账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    现场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交费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金 额</w:t>
            </w:r>
          </w:p>
        </w:tc>
        <w:tc>
          <w:tcPr>
            <w:tcW w:w="2164" w:type="dxa"/>
            <w:noWrap w:val="0"/>
            <w:vAlign w:val="top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收款信息</w:t>
            </w:r>
          </w:p>
        </w:tc>
        <w:tc>
          <w:tcPr>
            <w:tcW w:w="8159" w:type="dxa"/>
            <w:gridSpan w:val="5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left"/>
              <w:textAlignment w:val="baseline"/>
              <w:outlineLvl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开户名称： 北京中建科信管理咨询集团有限公司</w:t>
            </w:r>
          </w:p>
          <w:p>
            <w:pPr>
              <w:tabs>
                <w:tab w:val="left" w:pos="567"/>
                <w:tab w:val="left" w:pos="709"/>
              </w:tabs>
              <w:spacing w:line="300" w:lineRule="exact"/>
              <w:jc w:val="left"/>
              <w:textAlignment w:val="baseline"/>
              <w:outlineLvl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 户 行： 中国工商银行股份有限公司北京半壁店支行</w:t>
            </w:r>
          </w:p>
          <w:p>
            <w:pPr>
              <w:tabs>
                <w:tab w:val="left" w:pos="567"/>
                <w:tab w:val="left" w:pos="709"/>
              </w:tabs>
              <w:spacing w:line="300" w:lineRule="exact"/>
              <w:jc w:val="both"/>
              <w:textAlignment w:val="baseline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账    号： 0200247009200068235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备    注</w:t>
            </w:r>
          </w:p>
        </w:tc>
        <w:tc>
          <w:tcPr>
            <w:tcW w:w="4099" w:type="dxa"/>
            <w:gridSpan w:val="3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ind w:firstLine="560" w:firstLineChars="200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本课程可根据单位实际需</w:t>
            </w:r>
          </w:p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求，提供内部培训。</w:t>
            </w:r>
          </w:p>
        </w:tc>
        <w:tc>
          <w:tcPr>
            <w:tcW w:w="4060" w:type="dxa"/>
            <w:gridSpan w:val="2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ind w:firstLine="560" w:firstLineChars="200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参加单位（盖章）</w:t>
            </w:r>
          </w:p>
          <w:p>
            <w:pPr>
              <w:tabs>
                <w:tab w:val="left" w:pos="567"/>
                <w:tab w:val="left" w:pos="709"/>
              </w:tabs>
              <w:spacing w:line="300" w:lineRule="exact"/>
              <w:ind w:firstLine="280" w:firstLineChars="100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报名负责人：聂红军 主任18211071700（微信）   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电   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28"/>
          <w:szCs w:val="28"/>
        </w:rPr>
        <w:t xml:space="preserve">话：13141289128        邮    箱：zqgphwz@126.com  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qq咨询：3177524020          网    址：http://www.zqgpchina.cn</w:t>
      </w:r>
    </w:p>
    <w:sectPr>
      <w:footerReference r:id="rId3" w:type="default"/>
      <w:pgSz w:w="11910" w:h="16840"/>
      <w:pgMar w:top="1431" w:right="1523" w:bottom="1895" w:left="1559" w:header="0" w:footer="160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0" w:leftChars="0" w:firstLine="0" w:firstLineChars="0"/>
      <w:rPr>
        <w:rFonts w:eastAsiaTheme="minor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4D2115"/>
    <w:multiLevelType w:val="singleLevel"/>
    <w:tmpl w:val="1F4D211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yMWM5NTU3NmQwMzYzZGY2NjUyMjZkNDUzMDVhNDkifQ=="/>
  </w:docVars>
  <w:rsids>
    <w:rsidRoot w:val="00395D8A"/>
    <w:rsid w:val="00080B45"/>
    <w:rsid w:val="001A48AD"/>
    <w:rsid w:val="00395D8A"/>
    <w:rsid w:val="003D4992"/>
    <w:rsid w:val="00682884"/>
    <w:rsid w:val="00714EB7"/>
    <w:rsid w:val="0072744C"/>
    <w:rsid w:val="00903DBF"/>
    <w:rsid w:val="00947B92"/>
    <w:rsid w:val="00957C76"/>
    <w:rsid w:val="00B72D5A"/>
    <w:rsid w:val="00E271D5"/>
    <w:rsid w:val="01145609"/>
    <w:rsid w:val="01A67E27"/>
    <w:rsid w:val="02ED4364"/>
    <w:rsid w:val="02ED6112"/>
    <w:rsid w:val="03D1519A"/>
    <w:rsid w:val="0414147C"/>
    <w:rsid w:val="046441B2"/>
    <w:rsid w:val="04F75026"/>
    <w:rsid w:val="05F81055"/>
    <w:rsid w:val="06CE625A"/>
    <w:rsid w:val="083E2F6B"/>
    <w:rsid w:val="086504F8"/>
    <w:rsid w:val="090D306A"/>
    <w:rsid w:val="09565719"/>
    <w:rsid w:val="09581E0B"/>
    <w:rsid w:val="0A1C72DC"/>
    <w:rsid w:val="0A326B00"/>
    <w:rsid w:val="0AF0679F"/>
    <w:rsid w:val="0B354AFA"/>
    <w:rsid w:val="0C3B7EEE"/>
    <w:rsid w:val="0C9D2956"/>
    <w:rsid w:val="0CB952B6"/>
    <w:rsid w:val="0FD22917"/>
    <w:rsid w:val="0FE46C69"/>
    <w:rsid w:val="10305890"/>
    <w:rsid w:val="10480E2B"/>
    <w:rsid w:val="113F222E"/>
    <w:rsid w:val="11561326"/>
    <w:rsid w:val="12AF5192"/>
    <w:rsid w:val="13394A5B"/>
    <w:rsid w:val="13490B65"/>
    <w:rsid w:val="13AA5959"/>
    <w:rsid w:val="14425B91"/>
    <w:rsid w:val="14445DAD"/>
    <w:rsid w:val="14524026"/>
    <w:rsid w:val="147C5547"/>
    <w:rsid w:val="17050B4E"/>
    <w:rsid w:val="177B7D38"/>
    <w:rsid w:val="1829331B"/>
    <w:rsid w:val="18736C61"/>
    <w:rsid w:val="191A70DD"/>
    <w:rsid w:val="193F08F1"/>
    <w:rsid w:val="194523AC"/>
    <w:rsid w:val="1B293607"/>
    <w:rsid w:val="1B6F3710"/>
    <w:rsid w:val="1C4A5F2B"/>
    <w:rsid w:val="1CA94A00"/>
    <w:rsid w:val="1D0936F0"/>
    <w:rsid w:val="1E4A2212"/>
    <w:rsid w:val="1F3A4035"/>
    <w:rsid w:val="1FCB2EDF"/>
    <w:rsid w:val="20781741"/>
    <w:rsid w:val="20A774A8"/>
    <w:rsid w:val="214176A2"/>
    <w:rsid w:val="21635AC5"/>
    <w:rsid w:val="21D73DBD"/>
    <w:rsid w:val="222F3BF9"/>
    <w:rsid w:val="22C02AA3"/>
    <w:rsid w:val="231828DF"/>
    <w:rsid w:val="234B4A63"/>
    <w:rsid w:val="239A32F4"/>
    <w:rsid w:val="24727DCD"/>
    <w:rsid w:val="25DC4098"/>
    <w:rsid w:val="261C4494"/>
    <w:rsid w:val="26372215"/>
    <w:rsid w:val="26A36964"/>
    <w:rsid w:val="280926D2"/>
    <w:rsid w:val="291678C1"/>
    <w:rsid w:val="2A007C29"/>
    <w:rsid w:val="2AC944BF"/>
    <w:rsid w:val="2AE5579D"/>
    <w:rsid w:val="2AF459E0"/>
    <w:rsid w:val="2B0379D1"/>
    <w:rsid w:val="2BCD2423"/>
    <w:rsid w:val="2C9A4365"/>
    <w:rsid w:val="2CD16CE9"/>
    <w:rsid w:val="2D4D7629"/>
    <w:rsid w:val="2D687FBF"/>
    <w:rsid w:val="2D83129D"/>
    <w:rsid w:val="2DF67CC1"/>
    <w:rsid w:val="2E7C376A"/>
    <w:rsid w:val="2FA653B8"/>
    <w:rsid w:val="304934BF"/>
    <w:rsid w:val="30B8125D"/>
    <w:rsid w:val="327318E0"/>
    <w:rsid w:val="32C51A10"/>
    <w:rsid w:val="32C65EB4"/>
    <w:rsid w:val="32D85BE7"/>
    <w:rsid w:val="33024A12"/>
    <w:rsid w:val="337551E4"/>
    <w:rsid w:val="337A6C9E"/>
    <w:rsid w:val="33A06705"/>
    <w:rsid w:val="341E1D1F"/>
    <w:rsid w:val="348778C5"/>
    <w:rsid w:val="355552CD"/>
    <w:rsid w:val="35957DBF"/>
    <w:rsid w:val="35E77E4F"/>
    <w:rsid w:val="369260AD"/>
    <w:rsid w:val="36FA437E"/>
    <w:rsid w:val="38270896"/>
    <w:rsid w:val="392A565E"/>
    <w:rsid w:val="3A2A31CC"/>
    <w:rsid w:val="3A63223A"/>
    <w:rsid w:val="3A7C154E"/>
    <w:rsid w:val="3B3360B0"/>
    <w:rsid w:val="3B4E2EEA"/>
    <w:rsid w:val="3B6B584A"/>
    <w:rsid w:val="3CB21257"/>
    <w:rsid w:val="3FB452E6"/>
    <w:rsid w:val="3FBF07AD"/>
    <w:rsid w:val="4041301D"/>
    <w:rsid w:val="41601281"/>
    <w:rsid w:val="4194717D"/>
    <w:rsid w:val="43B6787E"/>
    <w:rsid w:val="44501A81"/>
    <w:rsid w:val="44586B88"/>
    <w:rsid w:val="451F3201"/>
    <w:rsid w:val="45765517"/>
    <w:rsid w:val="467D0B27"/>
    <w:rsid w:val="46BF4C9C"/>
    <w:rsid w:val="46D96B92"/>
    <w:rsid w:val="47332F94"/>
    <w:rsid w:val="47FE7A46"/>
    <w:rsid w:val="48EB1D78"/>
    <w:rsid w:val="49296D45"/>
    <w:rsid w:val="499C12C5"/>
    <w:rsid w:val="4A365275"/>
    <w:rsid w:val="4AC75A3B"/>
    <w:rsid w:val="4C714C8A"/>
    <w:rsid w:val="4C96024D"/>
    <w:rsid w:val="4E4942C7"/>
    <w:rsid w:val="4E5403C0"/>
    <w:rsid w:val="4EEC684A"/>
    <w:rsid w:val="4F02606E"/>
    <w:rsid w:val="4F7800DE"/>
    <w:rsid w:val="50096F88"/>
    <w:rsid w:val="50B25872"/>
    <w:rsid w:val="50DE0415"/>
    <w:rsid w:val="5160707C"/>
    <w:rsid w:val="523D116B"/>
    <w:rsid w:val="52B70F1D"/>
    <w:rsid w:val="530A3743"/>
    <w:rsid w:val="532321D6"/>
    <w:rsid w:val="53D901B4"/>
    <w:rsid w:val="53DD2C05"/>
    <w:rsid w:val="55546EF7"/>
    <w:rsid w:val="55894DF3"/>
    <w:rsid w:val="576C677A"/>
    <w:rsid w:val="57923D07"/>
    <w:rsid w:val="58020E8D"/>
    <w:rsid w:val="58353010"/>
    <w:rsid w:val="584414A5"/>
    <w:rsid w:val="58AD704A"/>
    <w:rsid w:val="5979517E"/>
    <w:rsid w:val="5AB3021C"/>
    <w:rsid w:val="5C545A2F"/>
    <w:rsid w:val="5CB87D6C"/>
    <w:rsid w:val="5DBC7D30"/>
    <w:rsid w:val="5E251431"/>
    <w:rsid w:val="5E341674"/>
    <w:rsid w:val="5E525F9E"/>
    <w:rsid w:val="5EAC1B52"/>
    <w:rsid w:val="60477D84"/>
    <w:rsid w:val="60D4713E"/>
    <w:rsid w:val="622F6D22"/>
    <w:rsid w:val="63035AB9"/>
    <w:rsid w:val="64630F05"/>
    <w:rsid w:val="657C227E"/>
    <w:rsid w:val="66D734E4"/>
    <w:rsid w:val="66DE2AC5"/>
    <w:rsid w:val="67E939BA"/>
    <w:rsid w:val="686F7E78"/>
    <w:rsid w:val="6888425E"/>
    <w:rsid w:val="6A6E4160"/>
    <w:rsid w:val="6BB42046"/>
    <w:rsid w:val="6C4C0AD1"/>
    <w:rsid w:val="6F0D2199"/>
    <w:rsid w:val="6F721B45"/>
    <w:rsid w:val="727D5888"/>
    <w:rsid w:val="728409C4"/>
    <w:rsid w:val="72850298"/>
    <w:rsid w:val="7363682B"/>
    <w:rsid w:val="737A5CD0"/>
    <w:rsid w:val="73D613A6"/>
    <w:rsid w:val="73FB4CB6"/>
    <w:rsid w:val="74360523"/>
    <w:rsid w:val="746E36DA"/>
    <w:rsid w:val="74CB0B2C"/>
    <w:rsid w:val="74DC4AE7"/>
    <w:rsid w:val="75735A9C"/>
    <w:rsid w:val="765661D4"/>
    <w:rsid w:val="76F459ED"/>
    <w:rsid w:val="77420E4E"/>
    <w:rsid w:val="7796486E"/>
    <w:rsid w:val="77BA0F87"/>
    <w:rsid w:val="783346A4"/>
    <w:rsid w:val="78397B5B"/>
    <w:rsid w:val="78B90FAE"/>
    <w:rsid w:val="79701CA2"/>
    <w:rsid w:val="7A1578E5"/>
    <w:rsid w:val="7A456C8B"/>
    <w:rsid w:val="7A5769BE"/>
    <w:rsid w:val="7AF76A4C"/>
    <w:rsid w:val="7B8A007E"/>
    <w:rsid w:val="7BB045D8"/>
    <w:rsid w:val="7C6333F8"/>
    <w:rsid w:val="7CCF0A8E"/>
    <w:rsid w:val="7D1172F8"/>
    <w:rsid w:val="7D4C0330"/>
    <w:rsid w:val="7DA0242A"/>
    <w:rsid w:val="7DBF4FA6"/>
    <w:rsid w:val="7E5F22E5"/>
    <w:rsid w:val="7F3217A8"/>
    <w:rsid w:val="7F460DAF"/>
    <w:rsid w:val="7F56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autoRedefine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link w:val="12"/>
    <w:autoRedefine/>
    <w:unhideWhenUsed/>
    <w:qFormat/>
    <w:uiPriority w:val="99"/>
    <w:pPr>
      <w:ind w:firstLine="420" w:firstLineChars="200"/>
    </w:pPr>
  </w:style>
  <w:style w:type="character" w:styleId="9">
    <w:name w:val="Strong"/>
    <w:autoRedefine/>
    <w:qFormat/>
    <w:uiPriority w:val="99"/>
    <w:rPr>
      <w:rFonts w:hint="default" w:ascii="Times New Roman" w:hAnsi="Times New Roman" w:cs="Times New Roman"/>
      <w:b/>
      <w:bCs/>
    </w:rPr>
  </w:style>
  <w:style w:type="character" w:styleId="10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正文文本缩进 字符"/>
    <w:basedOn w:val="8"/>
    <w:link w:val="2"/>
    <w:autoRedefine/>
    <w:semiHidden/>
    <w:qFormat/>
    <w:uiPriority w:val="99"/>
    <w:rPr>
      <w:rFonts w:ascii="Arial" w:hAnsi="Arial" w:eastAsia="Arial" w:cs="Arial"/>
      <w:snapToGrid w:val="0"/>
      <w:color w:val="000000"/>
      <w:kern w:val="0"/>
      <w:szCs w:val="21"/>
    </w:rPr>
  </w:style>
  <w:style w:type="character" w:customStyle="1" w:styleId="12">
    <w:name w:val="正文文本首行缩进 2 字符"/>
    <w:basedOn w:val="11"/>
    <w:link w:val="6"/>
    <w:autoRedefine/>
    <w:qFormat/>
    <w:uiPriority w:val="99"/>
    <w:rPr>
      <w:rFonts w:ascii="Arial" w:hAnsi="Arial" w:eastAsia="Arial" w:cs="Arial"/>
      <w:snapToGrid w:val="0"/>
      <w:color w:val="000000"/>
      <w:kern w:val="0"/>
      <w:szCs w:val="21"/>
    </w:rPr>
  </w:style>
  <w:style w:type="table" w:customStyle="1" w:styleId="13">
    <w:name w:val="Table Normal"/>
    <w:autoRedefine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5">
    <w:name w:val="页眉 字符"/>
    <w:basedOn w:val="8"/>
    <w:link w:val="4"/>
    <w:autoRedefine/>
    <w:qFormat/>
    <w:uiPriority w:val="99"/>
    <w:rPr>
      <w:rFonts w:ascii="Arial" w:hAnsi="Arial" w:eastAsia="Arial" w:cs="Arial"/>
      <w:snapToGrid w:val="0"/>
      <w:color w:val="000000"/>
      <w:kern w:val="0"/>
      <w:sz w:val="18"/>
      <w:szCs w:val="18"/>
    </w:rPr>
  </w:style>
  <w:style w:type="character" w:customStyle="1" w:styleId="16">
    <w:name w:val="页脚 字符"/>
    <w:basedOn w:val="8"/>
    <w:link w:val="3"/>
    <w:autoRedefine/>
    <w:qFormat/>
    <w:uiPriority w:val="99"/>
    <w:rPr>
      <w:rFonts w:ascii="Arial" w:hAnsi="Arial" w:eastAsia="Arial" w:cs="Arial"/>
      <w:snapToGrid w:val="0"/>
      <w:color w:val="000000"/>
      <w:kern w:val="0"/>
      <w:sz w:val="18"/>
      <w:szCs w:val="18"/>
    </w:rPr>
  </w:style>
  <w:style w:type="character" w:customStyle="1" w:styleId="17">
    <w:name w:val="Unresolved Mention"/>
    <w:basedOn w:val="8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497</Words>
  <Characters>2838</Characters>
  <Lines>23</Lines>
  <Paragraphs>6</Paragraphs>
  <TotalTime>1</TotalTime>
  <ScaleCrop>false</ScaleCrop>
  <LinksUpToDate>false</LinksUpToDate>
  <CharactersWithSpaces>3329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2023-08-16T03:32:00Z</dcterms:created>
  <dc:creator>HUAWEI</dc:creator>
  <cp:lastModifiedBy>聂红军</cp:lastModifiedBy>
  <dcterms:modified xsi:type="dcterms:W3CDTF">2024-03-25T09:30:34Z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0847034E176A47BFB081A7279B6B302E_13</vt:lpwstr>
  </property>
</Properties>
</file>