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-937895</wp:posOffset>
            </wp:positionV>
            <wp:extent cx="7641590" cy="10741660"/>
            <wp:effectExtent l="0" t="0" r="16510" b="2540"/>
            <wp:wrapNone/>
            <wp:docPr id="1" name="图片 1" descr="E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O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1590" cy="1074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-956945</wp:posOffset>
            </wp:positionV>
            <wp:extent cx="7630795" cy="10779760"/>
            <wp:effectExtent l="0" t="0" r="8255" b="2540"/>
            <wp:wrapNone/>
            <wp:docPr id="2" name="图片 2" descr="EO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O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0795" cy="1077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40" w:lineRule="exact"/>
        <w:ind w:firstLine="560" w:firstLineChars="2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培训收益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准确把握当前</w:t>
      </w:r>
      <w:r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最新</w:t>
      </w:r>
      <w:r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基础设施投融资</w:t>
      </w:r>
      <w:r>
        <w:rPr>
          <w:rFonts w:ascii="仿宋" w:hAnsi="仿宋" w:eastAsia="仿宋" w:cs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政策导向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（二）学习E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模式最新政策和操作实施；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（三）学习探讨片区综合开发中前期土地收储及后期支付来源；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（四）学习城市更新等投融资模式的操作难点和实务案例；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（五）学习地方政府专项债券操作实务和申报；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（六）学习政府和城投公司盘活存量资产模式及案例。</w:t>
      </w:r>
    </w:p>
    <w:p>
      <w:pPr>
        <w:spacing w:line="540" w:lineRule="exact"/>
        <w:ind w:left="56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二、培训内容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（一）当前经济形势和最新财政、金融和投融资政策解读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年中央经济工作会议和中央金融工作会议重点内容解析；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通报8起隐性债务问责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案例引申相关政策解析；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《生态环境导向的开发（EOD）项目实施导则（试行）》解析；</w:t>
      </w:r>
    </w:p>
    <w:p>
      <w:pPr>
        <w:pStyle w:val="6"/>
        <w:spacing w:line="560" w:lineRule="exact"/>
        <w:ind w:left="0" w:firstLine="560" w:firstLineChars="200"/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片区综合开发模式有关政策解析；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地方政府专项债券政策解析；</w:t>
      </w:r>
    </w:p>
    <w:p>
      <w:pPr>
        <w:pStyle w:val="6"/>
        <w:spacing w:line="560" w:lineRule="exact"/>
        <w:ind w:left="0" w:firstLine="560" w:firstLineChars="200"/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盘活存量资产、扩大有效融资政策解析。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）地方政府专项债券项目谋划和申报策略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年政府专项债券投资领域变化及解读；</w:t>
      </w:r>
    </w:p>
    <w:p>
      <w:pPr>
        <w:pStyle w:val="6"/>
        <w:spacing w:line="540" w:lineRule="exact"/>
        <w:ind w:left="0" w:firstLine="560" w:firstLineChars="200"/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农村道路打捆到专项债券项目中的方式及案例；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市政道路项目打捆到专项债券项目中的方式及案例；</w:t>
      </w:r>
    </w:p>
    <w:p>
      <w:pPr>
        <w:pStyle w:val="6"/>
        <w:spacing w:line="540" w:lineRule="exact"/>
        <w:ind w:left="0" w:firstLine="560" w:firstLineChars="200"/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政府专项债券及组合融资实务与案例；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政府专项债券在乡村振兴领域的运用及案例；</w:t>
      </w:r>
    </w:p>
    <w:p>
      <w:pPr>
        <w:pStyle w:val="6"/>
        <w:spacing w:line="540" w:lineRule="exact"/>
        <w:ind w:left="0" w:firstLine="560" w:firstLineChars="200"/>
        <w:rPr>
          <w:rFonts w:hint="default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发行政府专项债券前期材料准备（可研、</w:t>
      </w:r>
      <w:r>
        <w:rPr>
          <w:rFonts w:hAnsi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一案两书、自求平衡项目报告等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政府专项债券如何投资城镇化土地整理及案例；</w:t>
      </w:r>
    </w:p>
    <w:p>
      <w:pPr>
        <w:pStyle w:val="6"/>
        <w:spacing w:line="540" w:lineRule="exact"/>
        <w:ind w:left="0" w:firstLine="560" w:firstLineChars="200"/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利用政府专项债券盘活存量库中P</w:t>
      </w:r>
      <w:r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PP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项目的方式及案例。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PPP新机制下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特许经营模式的适用领域和操作流程详解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特许经营政策解读及其优先适用的领域；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特许经营与PPP模式的全方位优劣势比较分析：运作流程、适用范围、入库规则、方案编制和论证等；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特许经营模式在政府委托投融资平台公司业务中的应用；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市政公用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若干特许经营项目的案例分析。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新政下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EOD模式的操作要点和案例分析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EOD模式的项目组织主体、项目实施主体的概念与关系；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EOD项目实施主体获取项目的方式；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地方国有企业如何参与EOD项目；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EOD项目中的生态环境治理包含的主要领域；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生态环境治理应满足的条件；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如何确定EOD项目中的关联产业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主要类型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与负面清单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EOD新规下如何促进片区综合开发项目与EOD项目的结合；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EOD新规下如何促进产业园区项目与EOD项目的结合；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如何理解EOD项目中的“两高一低”；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如何理解EOD项目中各子项目的一体化实施；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如何理解确保不依靠政府资金投入；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金融机构在EOD项目中的贷款原则；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EOD实施主体如何筹集资金；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如何促进EOD项目的项目资本金的充足；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EOD项目的实施流程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实施方案的编制要点；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如何理解实施方案编制中的“生态环境质量改善目标应以定量目标为主”；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EOD新规下的项目收益主要有哪些；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EOD新规下的土地增减挂钩交易收益、碳汇收益；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EOD项目的投资总额主要包括的内容；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EOD项目如何实现土石料、淤泥、泥沙等方面的资源利用；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哪些收益不能作为EOD项目的收益来源；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EOD项目储备库入库解析；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EOD项目产业占比情况分析及案例。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）片区综合开发投融资模式及案例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政府授权国企与投资者合作模式；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ABO模式自身存在的短板及缓释措施与案例；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地方政府对国有企业的政策及资源支持的途径及案例；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投资人+EPC模式的合规性与违规性分析及片区包装设计；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投资人+EPC模式所涉及资产归属及回报机制设计；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如何识别市场中违规的“投资人+EPC”模式；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避免“投资人+EPC”模式违规的操作要点；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“F+EPC”模式与“投资人+EPC”模式的区别与联系；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如何促进“F+EPC”模式的合规性；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封闭运作、滚动开发、自求平衡模式解析及架构图分析。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）公益性与经营性综合打包项目的运作模式要点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1.哪些领域适合开展综合性项目；</w:t>
      </w:r>
    </w:p>
    <w:p>
      <w:pPr>
        <w:spacing w:line="540" w:lineRule="exact"/>
        <w:ind w:firstLine="560" w:firstLineChars="20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2.公益性与经营性综合打包项目的政策支持依据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与立项问题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.公益性项目与经营性项目综合打包的资金平衡要点；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.如何处理项目打包时的土地捆绑出让问题；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.财政资金在综合打包项目中如何应用；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.土地出让金如何实现对项目的反哺；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.政府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如何与社会资本方进行综合性项目的合作；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.TOD模式的应用领域及操作要点。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）中央企业、地方国企参与片区综合开发模式探讨及案例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央企、地方国企参与片区开发的难点和风险点分析；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2.央企、地方国企与地方平台公司之间的合作模式；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3.如何寻求政府财政合规的支持、支持途径及案例；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4.政府对片区项目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补贴方式、补贴类型及范围；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5.如何争取专项债券对项目支持及案例。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）城市更新项目投融资模式及案例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1.城市更新的拆迁类、改建类、整治类内容解析；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2.城市更新实施主体的确定方式及案例；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3.老旧小区、老旧厂区、老旧街区、城中村改造的实施方式及案例；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4.城市更新项目融资方式及案例；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5.社会资本参与城市更新模式及案例；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6.城市更新基金当前应用情况；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7.如何发挥地方国有企业在城市更新项目中的作用；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8.施工类央企参与城市更新项目的关注领域；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9.如何提高施工类央企在城市更新项目中的市场竞争力；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10.城市更新中的财政支持政策；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城市更新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的金融政策。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）存量资产盘活典型案例和分类处置策略</w:t>
      </w:r>
    </w:p>
    <w:p>
      <w:pPr>
        <w:pStyle w:val="16"/>
        <w:numPr>
          <w:ilvl w:val="0"/>
          <w:numId w:val="0"/>
        </w:numPr>
        <w:spacing w:line="540" w:lineRule="exact"/>
        <w:ind w:leftChars="0"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存量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资产处于正常经营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状态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盘活的方式及案例；</w:t>
      </w:r>
    </w:p>
    <w:p>
      <w:pPr>
        <w:pStyle w:val="16"/>
        <w:numPr>
          <w:ilvl w:val="0"/>
          <w:numId w:val="0"/>
        </w:numPr>
        <w:spacing w:line="540" w:lineRule="exact"/>
        <w:ind w:leftChars="0"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存量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资产处在还款期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盘活方式及案例；</w:t>
      </w:r>
    </w:p>
    <w:p>
      <w:pPr>
        <w:pStyle w:val="16"/>
        <w:numPr>
          <w:ilvl w:val="0"/>
          <w:numId w:val="0"/>
        </w:numPr>
        <w:spacing w:line="540" w:lineRule="exact"/>
        <w:ind w:leftChars="0"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政府如何为产业园区建设盘活存量资产筹措资金及案例；</w:t>
      </w:r>
    </w:p>
    <w:p>
      <w:pPr>
        <w:pStyle w:val="6"/>
        <w:numPr>
          <w:ilvl w:val="0"/>
          <w:numId w:val="0"/>
        </w:numPr>
        <w:spacing w:line="540" w:lineRule="exact"/>
        <w:ind w:leftChars="0" w:firstLine="560" w:firstLineChars="200"/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盘活存量资产获得中央预算内投资专项资金及案例；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盘活存量资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融资模式（购置贷、并购贷等）；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盘活存量资产的步骤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摸清家底，建立资产数据库；2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分类分级，为盘活提供支撑；3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方式选择，分类别进行盘活；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盘活存量资产的典型案例分析：盘活存量资产与改扩建有机结合、挖掘闲置低效资产价值、发行基础设施REITs、发行资产支持专项计划（商业票据）、产权交易、作价入股等。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（十）新型县城城镇化建设项目的谋划与投融资分析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1.县城城镇化建设项目的包装设计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实务解析；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2.县城城镇化建设项目的企业债券发行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银行贷款；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.县城城镇化建设项目的经营性与公益性项目综合打包问题；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.如何在县城城镇化建设项目中使用财政资金；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.地方国有企业在县城城镇化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项目中的作用；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.施工类企业在县城城镇化项目中的运作模式。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）土地储备和土地一级开发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1.土地储备与土地一级开发的关系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当前的现状分析；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.地方国有企业在土地储备中的作用；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.土地储备的资金来源；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.土地储备融资的探索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做地模式的合规性分析；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.政府回购保障房模式的合规性分析；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.房票制度在土地储备融资探索中的应用；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.社会资本能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参与土地储备项目；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.土地储备在片区开发中的应用；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.如何在土地一级开发中避免政府隐性债务；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.土地出让金的反哺前期开发问题。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）新一轮国资国企改革的要求和国资监管实务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国务院国资委新一轮国企改革政策对国企转型发展的要求；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地方国企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如何理顺资产和债务，有效控制市场化转型风险；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如何提升市场化造血能力，打造新型国有企业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政府投融资平台的整合升级和市场化转型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投融资平台公司的现状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、分层分区理论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城投信仰；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投融资平台公司整合升级的现实要求和各地政策要点；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投融资平台公司整合升级工作的九大步骤；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投融资平台公司转型发展的三种模式分析；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投融资平台公司转型发展的重点和难点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（1）定位转型：立足城市命运共同体，构建契约型政企关系；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（2）业务转型：新业务模式的变革，如新能源、新基建等；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（3）投资转型：产融互动，以产业投资促进区域经济；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（4）管理转型：投融资平台公司集团管控和管理提升；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（5）国资监管：国资国企改革与国资监管体系搭建。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投融资平台公司转型发展的案例分析。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政府投融资平台的融资创新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相关政策解读：15号文、金交所政策等；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各类融资模式的对比分析：银行贷款、城投债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非标融资等；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3、现有政策约束下的融资创新：供应链金融、基础设施REITs、碳汇、定融产品的合规化置换等。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）政府产业投资基金的设立、运作和案例研究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股权财政运作及案例分享；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园区产业投资基金运作模式及案例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资本招商运作及典型案例（合肥、苏州、深圳等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pStyle w:val="6"/>
        <w:ind w:left="0" w:firstLine="560" w:firstLineChars="20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4、政府产业投资基金怎样规避隐性债务及案例。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三、培训对象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各级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政府发改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、财政、环保、住建、交通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运输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、水利、农业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农村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、林草、文旅等部门工作人员；城投公司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为代表的各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融资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平台公司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相关人员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污水垃圾处理、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供水供气供热、仓储物流、新能源、环保及建筑施工等企业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人员；银行、证券、基金、信托、保险等金融机构专业人员。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拟邀师资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张朝元：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中国经济体制改革研究会副秘书长、培训中心主任，北京大学、清华大学投融资系列总裁研修班客座教授。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林晓东：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中国经济体制改革研究会理事、特聘授课专家，中国投资协会项目投融资专委会特聘专家、大成律师事务所合伙人。</w:t>
      </w:r>
    </w:p>
    <w:p>
      <w:pPr>
        <w:widowControl/>
        <w:spacing w:line="540" w:lineRule="exact"/>
        <w:ind w:firstLine="562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王小文：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财政部PPP示范项目评审专家、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住建部海绵城市试点考核专家，中国投资咨询有限责任公司战略与管理咨询事业部副总经理（主持工作）、研究中心主任。</w:t>
      </w:r>
    </w:p>
    <w:p>
      <w:pPr>
        <w:pStyle w:val="6"/>
        <w:spacing w:line="540" w:lineRule="exact"/>
        <w:ind w:left="0" w:firstLine="562"/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温来成：</w:t>
      </w:r>
      <w:r>
        <w:fldChar w:fldCharType="begin"/>
      </w:r>
      <w:r>
        <w:instrText xml:space="preserve"> HYPERLINK "https://baike.so.com/doc/3296910-3472858.html"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经济学博士，</w:t>
      </w:r>
      <w:r>
        <w:fldChar w:fldCharType="begin"/>
      </w:r>
      <w:r>
        <w:instrText xml:space="preserve"> HYPERLINK "https://baike.so.com/doc/871579-921482.html"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中央财经大学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教授，博士生导师，</w:t>
      </w:r>
      <w:r>
        <w:fldChar w:fldCharType="begin"/>
      </w:r>
      <w:r>
        <w:instrText xml:space="preserve"> HYPERLINK "https://baike.so.com/doc/5383824-5620225.html"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国家社会科学基金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评审专家，</w:t>
      </w:r>
      <w:r>
        <w:fldChar w:fldCharType="begin"/>
      </w:r>
      <w:r>
        <w:instrText xml:space="preserve"> HYPERLINK "https://baike.so.com/doc/5568745-5783922.html" \t "https://baike.so.com/doc/_blank" </w:instrText>
      </w:r>
      <w:r>
        <w:fldChar w:fldCharType="separate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国家自然科学基金</w:t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评审专家</w:t>
      </w:r>
      <w:r>
        <w:rPr>
          <w:rFonts w:hAnsi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鹏：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财政部政策实验室宏观经济部主任、经济学博士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中共中央党校干部学习网特约专家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培训时间与地点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2024年4月12日—4月15日   长沙市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（12日全天报到）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2024年4月19日—4月22日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杭州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2024年5月10日—5月13日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武汉市 （10日全天报到）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2024年5月24日—5月27日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郑州市 （24日全天报到）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2024年6月14日—6月17日   青岛市 （14日全天报到）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2024年6月27日—6月30日   南昌市 （27日全天报到）</w:t>
      </w:r>
    </w:p>
    <w:p>
      <w:pPr>
        <w:spacing w:line="540" w:lineRule="exact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2024年7月12日—7月15日   贵阳市 （12日全天报到）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2024年7月26日—7月29日   西安市 （26日全天报到）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六、收费标准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0元/人（含培训、资料、电子课件、场地及培训期间午餐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结业证书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），住宿统一安排，费用自理。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0元/人（含培训、资料、电子课件、场地、证书及培训期间午餐），住宿统一安排，费用自理。培训结束后，经考核合格，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由中国投资协会颁发《投融资规划师》证书，需提供申报表、二寸白底免冠彩色照片、身份证复印件、学历证书复印件等电子版材料。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C.13880元/人</w:t>
      </w:r>
      <w:r>
        <w:rPr>
          <w:rFonts w:hint="eastAsia" w:ascii="仿宋" w:hAnsi="仿宋" w:eastAsia="仿宋" w:cs="仿宋"/>
          <w:spacing w:val="0"/>
          <w:sz w:val="28"/>
          <w:szCs w:val="28"/>
        </w:rPr>
        <w:t>(含培训、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中国投资协会的会员证书铜牌【副会长单位价格另议】、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资料、电子课件、场地及培训期间午餐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spacing w:val="0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2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联系方式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电    话：13141289128        邮    箱：zqgphwz@126.com  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qq咨询：3177524020      网    址：http://www.zqgpchina.cn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right="-147" w:rightChars="-70"/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新政背景下EOD项目实施导则解读与运作、</w:t>
      </w:r>
    </w:p>
    <w:p>
      <w:pPr>
        <w:spacing w:line="480" w:lineRule="exact"/>
        <w:ind w:right="-147" w:rightChars="-70"/>
        <w:jc w:val="center"/>
        <w:rPr>
          <w:rFonts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片区综合开发、城市更新及专项债券重点支持项目谋划实务专题研修班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《投融资规划师》□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开户名称： 北京中建科信管理咨询集团有限公司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 中国工商银行股份有限公司北京半壁店支行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lef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6"/>
              <w:ind w:left="480" w:firstLine="48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440" w:lineRule="exact"/>
        <w:ind w:right="-147" w:rightChars="-70"/>
        <w:rPr>
          <w:rStyle w:val="9"/>
          <w:rFonts w:ascii="仿宋" w:hAnsi="仿宋" w:eastAsia="仿宋" w:cs="仿宋"/>
          <w:b w:val="0"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联报名负责人：聂红军 主任18211071700（微信）   </w:t>
      </w:r>
    </w:p>
    <w:p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电   话：13141289128       </w:t>
      </w:r>
      <w:bookmarkStart w:id="0" w:name="_GoBack"/>
      <w:bookmarkEnd w:id="0"/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邮    箱：zqgphwz@126.com  </w:t>
      </w:r>
    </w:p>
    <w:p>
      <w:pPr>
        <w:spacing w:line="440" w:lineRule="exact"/>
        <w:rPr>
          <w:rStyle w:val="9"/>
          <w:rFonts w:hint="eastAsia" w:ascii="仿宋" w:hAnsi="仿宋" w:eastAsia="仿宋" w:cs="仿宋"/>
          <w:color w:val="000000" w:themeColor="text1"/>
          <w:spacing w:val="8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qq咨询：3177524020         网    址：http://www.zqgpchina.cn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92331"/>
    <w:multiLevelType w:val="singleLevel"/>
    <w:tmpl w:val="7AC9233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MWM5NTU3NmQwMzYzZGY2NjUyMjZkNDUzMDVhNDkifQ=="/>
  </w:docVars>
  <w:rsids>
    <w:rsidRoot w:val="00D51FAA"/>
    <w:rsid w:val="00000508"/>
    <w:rsid w:val="00037700"/>
    <w:rsid w:val="00084460"/>
    <w:rsid w:val="000A17E5"/>
    <w:rsid w:val="000A4852"/>
    <w:rsid w:val="000A5A9D"/>
    <w:rsid w:val="000D6B55"/>
    <w:rsid w:val="000E1574"/>
    <w:rsid w:val="000E204B"/>
    <w:rsid w:val="001234DF"/>
    <w:rsid w:val="001815E2"/>
    <w:rsid w:val="001E6722"/>
    <w:rsid w:val="002202BE"/>
    <w:rsid w:val="00231F16"/>
    <w:rsid w:val="0025634D"/>
    <w:rsid w:val="00272A46"/>
    <w:rsid w:val="002749C9"/>
    <w:rsid w:val="0027718C"/>
    <w:rsid w:val="00292E6A"/>
    <w:rsid w:val="002D3499"/>
    <w:rsid w:val="003144E6"/>
    <w:rsid w:val="00327A7D"/>
    <w:rsid w:val="0038106F"/>
    <w:rsid w:val="00406D20"/>
    <w:rsid w:val="00412275"/>
    <w:rsid w:val="0044681F"/>
    <w:rsid w:val="00455750"/>
    <w:rsid w:val="00464B66"/>
    <w:rsid w:val="00480F5F"/>
    <w:rsid w:val="004A6EFA"/>
    <w:rsid w:val="004C036A"/>
    <w:rsid w:val="004F014E"/>
    <w:rsid w:val="005C4CD4"/>
    <w:rsid w:val="005F0B6F"/>
    <w:rsid w:val="00615433"/>
    <w:rsid w:val="00624B79"/>
    <w:rsid w:val="00650467"/>
    <w:rsid w:val="00650EEF"/>
    <w:rsid w:val="006557C2"/>
    <w:rsid w:val="006672EF"/>
    <w:rsid w:val="00671A31"/>
    <w:rsid w:val="0067446E"/>
    <w:rsid w:val="00682707"/>
    <w:rsid w:val="006836BA"/>
    <w:rsid w:val="006A2ADA"/>
    <w:rsid w:val="006C5089"/>
    <w:rsid w:val="006D402B"/>
    <w:rsid w:val="0070729C"/>
    <w:rsid w:val="0074601B"/>
    <w:rsid w:val="007554FC"/>
    <w:rsid w:val="00770C10"/>
    <w:rsid w:val="00772C12"/>
    <w:rsid w:val="007D1096"/>
    <w:rsid w:val="0082209D"/>
    <w:rsid w:val="008404E0"/>
    <w:rsid w:val="008753AE"/>
    <w:rsid w:val="008F516C"/>
    <w:rsid w:val="00947FFC"/>
    <w:rsid w:val="00966889"/>
    <w:rsid w:val="009C4CB6"/>
    <w:rsid w:val="00A244AC"/>
    <w:rsid w:val="00B05DFF"/>
    <w:rsid w:val="00B55E7C"/>
    <w:rsid w:val="00BB2B72"/>
    <w:rsid w:val="00BC3588"/>
    <w:rsid w:val="00C54CDA"/>
    <w:rsid w:val="00C918E2"/>
    <w:rsid w:val="00CC6EA9"/>
    <w:rsid w:val="00CE06C5"/>
    <w:rsid w:val="00D14AE9"/>
    <w:rsid w:val="00D51FAA"/>
    <w:rsid w:val="00D613DB"/>
    <w:rsid w:val="00D948A5"/>
    <w:rsid w:val="00DA6AE7"/>
    <w:rsid w:val="00E53EF0"/>
    <w:rsid w:val="00E86FBD"/>
    <w:rsid w:val="00E922E5"/>
    <w:rsid w:val="00EE50FD"/>
    <w:rsid w:val="00F707DD"/>
    <w:rsid w:val="00F814AB"/>
    <w:rsid w:val="00F828B6"/>
    <w:rsid w:val="00FA1C1A"/>
    <w:rsid w:val="00FA1D2A"/>
    <w:rsid w:val="00FA338C"/>
    <w:rsid w:val="00FB33B5"/>
    <w:rsid w:val="00FB5E44"/>
    <w:rsid w:val="01EF20C6"/>
    <w:rsid w:val="02C866AB"/>
    <w:rsid w:val="02DF39F5"/>
    <w:rsid w:val="033B50CF"/>
    <w:rsid w:val="034B42C3"/>
    <w:rsid w:val="04812FB5"/>
    <w:rsid w:val="0490144A"/>
    <w:rsid w:val="06252E77"/>
    <w:rsid w:val="06D7510F"/>
    <w:rsid w:val="07034156"/>
    <w:rsid w:val="07302A71"/>
    <w:rsid w:val="07943000"/>
    <w:rsid w:val="09D73678"/>
    <w:rsid w:val="0A1D552E"/>
    <w:rsid w:val="0A3E36F7"/>
    <w:rsid w:val="0A967156"/>
    <w:rsid w:val="0AD007F3"/>
    <w:rsid w:val="0B106E41"/>
    <w:rsid w:val="0BC1638D"/>
    <w:rsid w:val="0BCB0FBA"/>
    <w:rsid w:val="0BFC73C5"/>
    <w:rsid w:val="0C1C1816"/>
    <w:rsid w:val="0CA5180B"/>
    <w:rsid w:val="0D441024"/>
    <w:rsid w:val="0D815DD4"/>
    <w:rsid w:val="0DB241E0"/>
    <w:rsid w:val="0E3C32D3"/>
    <w:rsid w:val="0F7756E1"/>
    <w:rsid w:val="0F783207"/>
    <w:rsid w:val="10725EA8"/>
    <w:rsid w:val="111B02EE"/>
    <w:rsid w:val="11673533"/>
    <w:rsid w:val="14AD738E"/>
    <w:rsid w:val="15015A4D"/>
    <w:rsid w:val="15773C83"/>
    <w:rsid w:val="164125A5"/>
    <w:rsid w:val="1686445B"/>
    <w:rsid w:val="169E79F7"/>
    <w:rsid w:val="16E4489F"/>
    <w:rsid w:val="17936E30"/>
    <w:rsid w:val="18041ADC"/>
    <w:rsid w:val="18100480"/>
    <w:rsid w:val="189F1804"/>
    <w:rsid w:val="18F97167"/>
    <w:rsid w:val="190D3CAF"/>
    <w:rsid w:val="194A79C2"/>
    <w:rsid w:val="19B65058"/>
    <w:rsid w:val="1A27306A"/>
    <w:rsid w:val="1B23671D"/>
    <w:rsid w:val="1D1C1676"/>
    <w:rsid w:val="1E2C2C57"/>
    <w:rsid w:val="1F0C571A"/>
    <w:rsid w:val="201E5705"/>
    <w:rsid w:val="20996A84"/>
    <w:rsid w:val="20E406FC"/>
    <w:rsid w:val="21470C8B"/>
    <w:rsid w:val="21584C46"/>
    <w:rsid w:val="22162B37"/>
    <w:rsid w:val="225418B2"/>
    <w:rsid w:val="22C5630B"/>
    <w:rsid w:val="22DB5B2F"/>
    <w:rsid w:val="23A83C63"/>
    <w:rsid w:val="23B56380"/>
    <w:rsid w:val="24172B97"/>
    <w:rsid w:val="243E6375"/>
    <w:rsid w:val="24457704"/>
    <w:rsid w:val="25453733"/>
    <w:rsid w:val="25916E66"/>
    <w:rsid w:val="26D134D1"/>
    <w:rsid w:val="27322CEB"/>
    <w:rsid w:val="286345FC"/>
    <w:rsid w:val="28F8538E"/>
    <w:rsid w:val="290C6A42"/>
    <w:rsid w:val="29114058"/>
    <w:rsid w:val="294F2DD3"/>
    <w:rsid w:val="29EE2863"/>
    <w:rsid w:val="2A3F4BF5"/>
    <w:rsid w:val="2B7C67AE"/>
    <w:rsid w:val="2BA2543C"/>
    <w:rsid w:val="2BF85682"/>
    <w:rsid w:val="2CFC6DCE"/>
    <w:rsid w:val="2E020414"/>
    <w:rsid w:val="30450A8C"/>
    <w:rsid w:val="3087555D"/>
    <w:rsid w:val="309C68FD"/>
    <w:rsid w:val="317E4255"/>
    <w:rsid w:val="32851613"/>
    <w:rsid w:val="32902492"/>
    <w:rsid w:val="32A777DC"/>
    <w:rsid w:val="3333106F"/>
    <w:rsid w:val="34D50630"/>
    <w:rsid w:val="35EF5721"/>
    <w:rsid w:val="37465815"/>
    <w:rsid w:val="377F2AD5"/>
    <w:rsid w:val="37A97B52"/>
    <w:rsid w:val="37E312B6"/>
    <w:rsid w:val="38997BC6"/>
    <w:rsid w:val="3A9C399E"/>
    <w:rsid w:val="3AC84793"/>
    <w:rsid w:val="3B007A89"/>
    <w:rsid w:val="3B0752BB"/>
    <w:rsid w:val="3B11613A"/>
    <w:rsid w:val="3B117EE8"/>
    <w:rsid w:val="3C97266F"/>
    <w:rsid w:val="3CDC4526"/>
    <w:rsid w:val="3DDC2A2F"/>
    <w:rsid w:val="3DFC4E7F"/>
    <w:rsid w:val="3F7B0026"/>
    <w:rsid w:val="3FE23E26"/>
    <w:rsid w:val="41196D42"/>
    <w:rsid w:val="419C7DEA"/>
    <w:rsid w:val="41A01FC6"/>
    <w:rsid w:val="42237912"/>
    <w:rsid w:val="4286357D"/>
    <w:rsid w:val="42FC76D0"/>
    <w:rsid w:val="43CC70A2"/>
    <w:rsid w:val="43E73EDC"/>
    <w:rsid w:val="4404683C"/>
    <w:rsid w:val="44BA339E"/>
    <w:rsid w:val="44C8242D"/>
    <w:rsid w:val="459B4F7E"/>
    <w:rsid w:val="459C0CF6"/>
    <w:rsid w:val="45A94AFE"/>
    <w:rsid w:val="45CD7101"/>
    <w:rsid w:val="46192347"/>
    <w:rsid w:val="46244F73"/>
    <w:rsid w:val="4781076D"/>
    <w:rsid w:val="480212E4"/>
    <w:rsid w:val="48C12F4D"/>
    <w:rsid w:val="4A387D41"/>
    <w:rsid w:val="4AB8212E"/>
    <w:rsid w:val="4B1D6435"/>
    <w:rsid w:val="4B814C16"/>
    <w:rsid w:val="4BC114B6"/>
    <w:rsid w:val="4C5B5467"/>
    <w:rsid w:val="4D5519C8"/>
    <w:rsid w:val="4D933821"/>
    <w:rsid w:val="4F052825"/>
    <w:rsid w:val="4F95546D"/>
    <w:rsid w:val="5004187B"/>
    <w:rsid w:val="501778F7"/>
    <w:rsid w:val="50414974"/>
    <w:rsid w:val="519D207E"/>
    <w:rsid w:val="52DB0526"/>
    <w:rsid w:val="53590226"/>
    <w:rsid w:val="53803A05"/>
    <w:rsid w:val="538C23AA"/>
    <w:rsid w:val="53CB2ED2"/>
    <w:rsid w:val="53F51CFD"/>
    <w:rsid w:val="545306B4"/>
    <w:rsid w:val="55FC102D"/>
    <w:rsid w:val="563A5319"/>
    <w:rsid w:val="56680EAC"/>
    <w:rsid w:val="56890E23"/>
    <w:rsid w:val="568E6439"/>
    <w:rsid w:val="57E26A3C"/>
    <w:rsid w:val="590F3861"/>
    <w:rsid w:val="5963656D"/>
    <w:rsid w:val="5A985301"/>
    <w:rsid w:val="5C133668"/>
    <w:rsid w:val="5C89392A"/>
    <w:rsid w:val="5CAA0600"/>
    <w:rsid w:val="5CCF2C88"/>
    <w:rsid w:val="5DCA41FA"/>
    <w:rsid w:val="5F742670"/>
    <w:rsid w:val="60883C70"/>
    <w:rsid w:val="61131A15"/>
    <w:rsid w:val="61DF3FED"/>
    <w:rsid w:val="629B6165"/>
    <w:rsid w:val="62F53AC8"/>
    <w:rsid w:val="63C72C14"/>
    <w:rsid w:val="6603474E"/>
    <w:rsid w:val="66682803"/>
    <w:rsid w:val="697274F4"/>
    <w:rsid w:val="6A333127"/>
    <w:rsid w:val="6A6E7CFF"/>
    <w:rsid w:val="6AB9187F"/>
    <w:rsid w:val="6B4A697B"/>
    <w:rsid w:val="6B5E13C7"/>
    <w:rsid w:val="6C88775B"/>
    <w:rsid w:val="6CD67880"/>
    <w:rsid w:val="6D0B2E97"/>
    <w:rsid w:val="6D3B2A1F"/>
    <w:rsid w:val="6DC02F24"/>
    <w:rsid w:val="6E533D98"/>
    <w:rsid w:val="6E677844"/>
    <w:rsid w:val="704240C4"/>
    <w:rsid w:val="7137174F"/>
    <w:rsid w:val="7156205C"/>
    <w:rsid w:val="719B1CDE"/>
    <w:rsid w:val="72086956"/>
    <w:rsid w:val="722C6DDA"/>
    <w:rsid w:val="72DC5162"/>
    <w:rsid w:val="72DF209E"/>
    <w:rsid w:val="730B4C41"/>
    <w:rsid w:val="73706D62"/>
    <w:rsid w:val="73CA4470"/>
    <w:rsid w:val="7420471D"/>
    <w:rsid w:val="759E7FEF"/>
    <w:rsid w:val="75FC2F67"/>
    <w:rsid w:val="769A6A08"/>
    <w:rsid w:val="77161E07"/>
    <w:rsid w:val="77E837A3"/>
    <w:rsid w:val="78771BB8"/>
    <w:rsid w:val="788B5230"/>
    <w:rsid w:val="78C37D6C"/>
    <w:rsid w:val="79E22D53"/>
    <w:rsid w:val="7A794B87"/>
    <w:rsid w:val="7ABB519F"/>
    <w:rsid w:val="7B534407"/>
    <w:rsid w:val="7C1E59E5"/>
    <w:rsid w:val="7C991510"/>
    <w:rsid w:val="7CB400F8"/>
    <w:rsid w:val="7D1E1A15"/>
    <w:rsid w:val="7DAB14FB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next w:val="1"/>
    <w:link w:val="15"/>
    <w:autoRedefine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字符"/>
    <w:basedOn w:val="8"/>
    <w:link w:val="2"/>
    <w:autoRedefine/>
    <w:semiHidden/>
    <w:qFormat/>
    <w:uiPriority w:val="99"/>
  </w:style>
  <w:style w:type="character" w:customStyle="1" w:styleId="13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5">
    <w:name w:val="正文首行缩进 2 字符"/>
    <w:basedOn w:val="12"/>
    <w:link w:val="6"/>
    <w:autoRedefine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1052</Words>
  <Characters>5998</Characters>
  <Lines>49</Lines>
  <Paragraphs>14</Paragraphs>
  <TotalTime>8</TotalTime>
  <ScaleCrop>false</ScaleCrop>
  <LinksUpToDate>false</LinksUpToDate>
  <CharactersWithSpaces>7036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2024-01-08T02:35:00Z</dcterms:created>
  <dc:creator>Lenovo</dc:creator>
  <cp:lastModifiedBy>聂红军</cp:lastModifiedBy>
  <cp:lastPrinted>2023-05-05T02:47:00Z</cp:lastPrinted>
  <dcterms:modified xsi:type="dcterms:W3CDTF">2024-03-25T09:26:57Z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B2F922732ED848039D639E189FC18782_13</vt:lpwstr>
  </property>
</Properties>
</file>