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-1063625</wp:posOffset>
            </wp:positionH>
            <wp:positionV relativeFrom="paragraph">
              <wp:posOffset>-963930</wp:posOffset>
            </wp:positionV>
            <wp:extent cx="7686040" cy="10809605"/>
            <wp:effectExtent l="0" t="0" r="10160" b="10795"/>
            <wp:wrapNone/>
            <wp:docPr id="2" name="图片 2" descr="中建科信11号文A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建科信11号文A_00"/>
                    <pic:cNvPicPr>
                      <a:picLocks noChangeAspect="1"/>
                    </pic:cNvPicPr>
                  </pic:nvPicPr>
                  <pic:blipFill>
                    <a:blip r:embed="rId4"/>
                    <a:stretch>
                      <a:fillRect/>
                    </a:stretch>
                  </pic:blipFill>
                  <pic:spPr>
                    <a:xfrm>
                      <a:off x="0" y="0"/>
                      <a:ext cx="7686040" cy="10809605"/>
                    </a:xfrm>
                    <a:prstGeom prst="rect">
                      <a:avLst/>
                    </a:prstGeom>
                  </pic:spPr>
                </pic:pic>
              </a:graphicData>
            </a:graphic>
          </wp:anchor>
        </w:drawing>
      </w: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24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-1063625</wp:posOffset>
            </wp:positionH>
            <wp:positionV relativeFrom="paragraph">
              <wp:posOffset>-973455</wp:posOffset>
            </wp:positionV>
            <wp:extent cx="7677150" cy="10808970"/>
            <wp:effectExtent l="0" t="0" r="0" b="11430"/>
            <wp:wrapNone/>
            <wp:docPr id="3" name="图片 3" descr="中建科信11号文B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科信11号文B_00"/>
                    <pic:cNvPicPr>
                      <a:picLocks noChangeAspect="1"/>
                    </pic:cNvPicPr>
                  </pic:nvPicPr>
                  <pic:blipFill>
                    <a:blip r:embed="rId5"/>
                    <a:stretch>
                      <a:fillRect/>
                    </a:stretch>
                  </pic:blipFill>
                  <pic:spPr>
                    <a:xfrm>
                      <a:off x="0" y="0"/>
                      <a:ext cx="7677150" cy="10808970"/>
                    </a:xfrm>
                    <a:prstGeom prst="rect">
                      <a:avLst/>
                    </a:prstGeom>
                  </pic:spPr>
                </pic:pic>
              </a:graphicData>
            </a:graphic>
          </wp:anchor>
        </w:drawing>
      </w: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843" w:firstLineChars="300"/>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附件1：</w:t>
      </w:r>
    </w:p>
    <w:p>
      <w:pPr>
        <w:spacing w:line="540" w:lineRule="exact"/>
        <w:ind w:firstLine="281" w:firstLineChars="1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281" w:firstLineChars="100"/>
        <w:rPr>
          <w:rFonts w:ascii="微软雅黑" w:hAnsi="微软雅黑" w:eastAsia="微软雅黑" w:cs="仿宋"/>
          <w:b/>
          <w:bCs/>
          <w:sz w:val="24"/>
          <w:szCs w:val="24"/>
        </w:rPr>
      </w:pPr>
      <w:r>
        <w:rPr>
          <w:rFonts w:hint="eastAsia" w:ascii="仿宋" w:hAnsi="仿宋" w:eastAsia="仿宋" w:cs="仿宋"/>
          <w:b/>
          <w:bCs/>
          <w:color w:val="000000" w:themeColor="text1"/>
          <w:sz w:val="28"/>
          <w:szCs w:val="28"/>
          <w14:textFill>
            <w14:solidFill>
              <w14:schemeClr w14:val="tx1"/>
            </w14:solidFill>
          </w14:textFill>
        </w:rPr>
        <w:t>一、培训收益</w:t>
      </w:r>
    </w:p>
    <w:p>
      <w:pPr>
        <w:spacing w:line="540" w:lineRule="exact"/>
        <w:ind w:firstLine="594" w:firstLineChars="200"/>
        <w:rPr>
          <w:rFonts w:hint="eastAsia" w:ascii="仿宋" w:hAnsi="仿宋" w:eastAsia="仿宋" w:cs="仿宋"/>
          <w:b/>
          <w:bCs/>
          <w:color w:val="000000" w:themeColor="text1"/>
          <w:spacing w:val="8"/>
          <w:sz w:val="28"/>
          <w:szCs w:val="28"/>
          <w14:textFill>
            <w14:solidFill>
              <w14:schemeClr w14:val="tx1"/>
            </w14:solidFill>
          </w14:textFill>
        </w:rPr>
      </w:pPr>
      <w:r>
        <w:rPr>
          <w:rFonts w:hint="eastAsia" w:ascii="仿宋" w:hAnsi="仿宋" w:eastAsia="仿宋" w:cs="仿宋"/>
          <w:b/>
          <w:bCs/>
          <w:color w:val="000000" w:themeColor="text1"/>
          <w:spacing w:val="8"/>
          <w:sz w:val="28"/>
          <w:szCs w:val="28"/>
          <w14:textFill>
            <w14:solidFill>
              <w14:schemeClr w14:val="tx1"/>
            </w14:solidFill>
          </w14:textFill>
        </w:rPr>
        <w:t>本次课程主要围绕当前政府投融资领域重点和难点，授课老师通过政策实务讲解、案例分析、答疑互动方式，帮助参会领导和代表获得以下收获：</w:t>
      </w:r>
    </w:p>
    <w:p>
      <w:pPr>
        <w:spacing w:line="540" w:lineRule="exact"/>
        <w:ind w:firstLine="592" w:firstLineChars="200"/>
        <w:rPr>
          <w:rFonts w:hint="default" w:ascii="仿宋" w:hAnsi="仿宋" w:eastAsia="仿宋" w:cs="仿宋"/>
          <w:b/>
          <w:bCs/>
          <w:color w:val="000000" w:themeColor="text1"/>
          <w:spacing w:val="8"/>
          <w:sz w:val="28"/>
          <w:szCs w:val="28"/>
          <w:lang w:val="en-US" w:eastAsia="zh-CN"/>
          <w14:textFill>
            <w14:solidFill>
              <w14:schemeClr w14:val="tx1"/>
            </w14:solidFill>
          </w14:textFill>
        </w:rPr>
      </w:pPr>
      <w:r>
        <w:rPr>
          <w:rFonts w:hint="eastAsia" w:ascii="仿宋" w:hAnsi="仿宋" w:eastAsia="仿宋" w:cs="仿宋"/>
          <w:b w:val="0"/>
          <w:bCs w:val="0"/>
          <w:color w:val="000000" w:themeColor="text1"/>
          <w:spacing w:val="8"/>
          <w:sz w:val="28"/>
          <w:szCs w:val="28"/>
          <w:lang w:eastAsia="zh-CN"/>
          <w14:textFill>
            <w14:solidFill>
              <w14:schemeClr w14:val="tx1"/>
            </w14:solidFill>
          </w14:textFill>
        </w:rPr>
        <w:t>（</w:t>
      </w:r>
      <w:r>
        <w:rPr>
          <w:rFonts w:hint="eastAsia" w:ascii="仿宋" w:hAnsi="仿宋" w:eastAsia="仿宋" w:cs="仿宋"/>
          <w:b w:val="0"/>
          <w:bCs w:val="0"/>
          <w:color w:val="000000" w:themeColor="text1"/>
          <w:spacing w:val="8"/>
          <w:sz w:val="28"/>
          <w:szCs w:val="28"/>
          <w:lang w:val="en-US" w:eastAsia="zh-CN"/>
          <w14:textFill>
            <w14:solidFill>
              <w14:schemeClr w14:val="tx1"/>
            </w14:solidFill>
          </w14:textFill>
        </w:rPr>
        <w:t>一）超长期国债、专项债、中央预算内资金申报要点</w:t>
      </w:r>
    </w:p>
    <w:p>
      <w:pPr>
        <w:spacing w:line="540" w:lineRule="exact"/>
        <w:ind w:firstLine="592" w:firstLineChars="200"/>
        <w:rPr>
          <w:rFonts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w:t>
      </w:r>
      <w:r>
        <w:rPr>
          <w:rFonts w:hint="eastAsia" w:ascii="仿宋" w:hAnsi="仿宋" w:eastAsia="仿宋" w:cs="仿宋"/>
          <w:color w:val="000000" w:themeColor="text1"/>
          <w:spacing w:val="8"/>
          <w:sz w:val="28"/>
          <w:szCs w:val="28"/>
          <w:lang w:val="en-US" w:eastAsia="zh-CN"/>
          <w14:textFill>
            <w14:solidFill>
              <w14:schemeClr w14:val="tx1"/>
            </w14:solidFill>
          </w14:textFill>
        </w:rPr>
        <w:t>二</w:t>
      </w:r>
      <w:r>
        <w:rPr>
          <w:rFonts w:hint="eastAsia" w:ascii="仿宋" w:hAnsi="仿宋" w:eastAsia="仿宋" w:cs="仿宋"/>
          <w:color w:val="000000" w:themeColor="text1"/>
          <w:spacing w:val="8"/>
          <w:sz w:val="28"/>
          <w:szCs w:val="28"/>
          <w14:textFill>
            <w14:solidFill>
              <w14:schemeClr w14:val="tx1"/>
            </w14:solidFill>
          </w14:textFill>
        </w:rPr>
        <w:t>）</w:t>
      </w:r>
      <w:r>
        <w:rPr>
          <w:rFonts w:ascii="仿宋" w:hAnsi="仿宋" w:eastAsia="仿宋" w:cs="仿宋"/>
          <w:color w:val="000000" w:themeColor="text1"/>
          <w:spacing w:val="8"/>
          <w:sz w:val="28"/>
          <w:szCs w:val="28"/>
          <w14:textFill>
            <w14:solidFill>
              <w14:schemeClr w14:val="tx1"/>
            </w14:solidFill>
          </w14:textFill>
        </w:rPr>
        <w:t>准确把握当前</w:t>
      </w:r>
      <w:r>
        <w:rPr>
          <w:rFonts w:hint="eastAsia" w:ascii="仿宋" w:hAnsi="仿宋" w:eastAsia="仿宋" w:cs="仿宋"/>
          <w:color w:val="000000" w:themeColor="text1"/>
          <w:spacing w:val="8"/>
          <w:sz w:val="28"/>
          <w:szCs w:val="28"/>
          <w14:textFill>
            <w14:solidFill>
              <w14:schemeClr w14:val="tx1"/>
            </w14:solidFill>
          </w14:textFill>
        </w:rPr>
        <w:t>国办最新化债政策及基础设施投融资</w:t>
      </w:r>
      <w:r>
        <w:rPr>
          <w:rFonts w:ascii="仿宋" w:hAnsi="仿宋" w:eastAsia="仿宋" w:cs="仿宋"/>
          <w:color w:val="000000" w:themeColor="text1"/>
          <w:spacing w:val="8"/>
          <w:sz w:val="28"/>
          <w:szCs w:val="28"/>
          <w14:textFill>
            <w14:solidFill>
              <w14:schemeClr w14:val="tx1"/>
            </w14:solidFill>
          </w14:textFill>
        </w:rPr>
        <w:t>政策导向</w:t>
      </w:r>
      <w:r>
        <w:rPr>
          <w:rFonts w:hint="eastAsia" w:ascii="仿宋" w:hAnsi="仿宋" w:eastAsia="仿宋" w:cs="仿宋"/>
          <w:color w:val="000000" w:themeColor="text1"/>
          <w:spacing w:val="8"/>
          <w:sz w:val="28"/>
          <w:szCs w:val="28"/>
          <w14:textFill>
            <w14:solidFill>
              <w14:schemeClr w14:val="tx1"/>
            </w14:solidFill>
          </w14:textFill>
        </w:rPr>
        <w:t>；</w:t>
      </w:r>
    </w:p>
    <w:p>
      <w:pPr>
        <w:spacing w:line="540" w:lineRule="exact"/>
        <w:ind w:firstLine="592" w:firstLineChars="200"/>
        <w:rPr>
          <w:rFonts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w:t>
      </w:r>
      <w:r>
        <w:rPr>
          <w:rFonts w:hint="eastAsia" w:ascii="仿宋" w:hAnsi="仿宋" w:eastAsia="仿宋" w:cs="仿宋"/>
          <w:color w:val="000000" w:themeColor="text1"/>
          <w:spacing w:val="8"/>
          <w:sz w:val="28"/>
          <w:szCs w:val="28"/>
          <w:lang w:val="en-US" w:eastAsia="zh-CN"/>
          <w14:textFill>
            <w14:solidFill>
              <w14:schemeClr w14:val="tx1"/>
            </w14:solidFill>
          </w14:textFill>
        </w:rPr>
        <w:t>三</w:t>
      </w:r>
      <w:r>
        <w:rPr>
          <w:rFonts w:hint="eastAsia" w:ascii="仿宋" w:hAnsi="仿宋" w:eastAsia="仿宋" w:cs="仿宋"/>
          <w:color w:val="000000" w:themeColor="text1"/>
          <w:spacing w:val="8"/>
          <w:sz w:val="28"/>
          <w:szCs w:val="28"/>
          <w14:textFill>
            <w14:solidFill>
              <w14:schemeClr w14:val="tx1"/>
            </w14:solidFill>
          </w14:textFill>
        </w:rPr>
        <w:t>）学习超长期特别国债有关政策、投资范围、项目申报有关实务；</w:t>
      </w:r>
    </w:p>
    <w:p>
      <w:pPr>
        <w:spacing w:line="540" w:lineRule="exact"/>
        <w:ind w:firstLine="592" w:firstLineChars="200"/>
        <w:rPr>
          <w:rFonts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w:t>
      </w:r>
      <w:r>
        <w:rPr>
          <w:rFonts w:hint="eastAsia" w:ascii="仿宋" w:hAnsi="仿宋" w:eastAsia="仿宋" w:cs="仿宋"/>
          <w:color w:val="000000" w:themeColor="text1"/>
          <w:spacing w:val="8"/>
          <w:sz w:val="28"/>
          <w:szCs w:val="28"/>
          <w:lang w:val="en-US" w:eastAsia="zh-CN"/>
          <w14:textFill>
            <w14:solidFill>
              <w14:schemeClr w14:val="tx1"/>
            </w14:solidFill>
          </w14:textFill>
        </w:rPr>
        <w:t>四</w:t>
      </w:r>
      <w:r>
        <w:rPr>
          <w:rFonts w:hint="eastAsia" w:ascii="仿宋" w:hAnsi="仿宋" w:eastAsia="仿宋" w:cs="仿宋"/>
          <w:color w:val="000000" w:themeColor="text1"/>
          <w:spacing w:val="8"/>
          <w:sz w:val="28"/>
          <w:szCs w:val="28"/>
          <w14:textFill>
            <w14:solidFill>
              <w14:schemeClr w14:val="tx1"/>
            </w14:solidFill>
          </w14:textFill>
        </w:rPr>
        <w:t>）学习新《导则》带来E</w:t>
      </w:r>
      <w:r>
        <w:rPr>
          <w:rFonts w:ascii="仿宋" w:hAnsi="仿宋" w:eastAsia="仿宋" w:cs="仿宋"/>
          <w:color w:val="000000" w:themeColor="text1"/>
          <w:spacing w:val="8"/>
          <w:sz w:val="28"/>
          <w:szCs w:val="28"/>
          <w14:textFill>
            <w14:solidFill>
              <w14:schemeClr w14:val="tx1"/>
            </w14:solidFill>
          </w14:textFill>
        </w:rPr>
        <w:t>OD</w:t>
      </w:r>
      <w:r>
        <w:rPr>
          <w:rFonts w:hint="eastAsia" w:ascii="仿宋" w:hAnsi="仿宋" w:eastAsia="仿宋" w:cs="仿宋"/>
          <w:color w:val="000000" w:themeColor="text1"/>
          <w:spacing w:val="8"/>
          <w:sz w:val="28"/>
          <w:szCs w:val="28"/>
          <w14:textFill>
            <w14:solidFill>
              <w14:schemeClr w14:val="tx1"/>
            </w14:solidFill>
          </w14:textFill>
        </w:rPr>
        <w:t>模式新变化内容及操作实施；</w:t>
      </w:r>
    </w:p>
    <w:p>
      <w:pPr>
        <w:spacing w:line="540" w:lineRule="exact"/>
        <w:ind w:firstLine="592" w:firstLineChars="200"/>
        <w:rPr>
          <w:rFonts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w:t>
      </w:r>
      <w:r>
        <w:rPr>
          <w:rFonts w:hint="eastAsia" w:ascii="仿宋" w:hAnsi="仿宋" w:eastAsia="仿宋" w:cs="仿宋"/>
          <w:color w:val="000000" w:themeColor="text1"/>
          <w:spacing w:val="8"/>
          <w:sz w:val="28"/>
          <w:szCs w:val="28"/>
          <w:lang w:val="en-US" w:eastAsia="zh-CN"/>
          <w14:textFill>
            <w14:solidFill>
              <w14:schemeClr w14:val="tx1"/>
            </w14:solidFill>
          </w14:textFill>
        </w:rPr>
        <w:t>五</w:t>
      </w:r>
      <w:r>
        <w:rPr>
          <w:rFonts w:hint="eastAsia" w:ascii="仿宋" w:hAnsi="仿宋" w:eastAsia="仿宋" w:cs="仿宋"/>
          <w:color w:val="000000" w:themeColor="text1"/>
          <w:spacing w:val="8"/>
          <w:sz w:val="28"/>
          <w:szCs w:val="28"/>
          <w14:textFill>
            <w14:solidFill>
              <w14:schemeClr w14:val="tx1"/>
            </w14:solidFill>
          </w14:textFill>
        </w:rPr>
        <w:t>）学习2</w:t>
      </w:r>
      <w:r>
        <w:rPr>
          <w:rFonts w:ascii="仿宋" w:hAnsi="仿宋" w:eastAsia="仿宋" w:cs="仿宋"/>
          <w:color w:val="000000" w:themeColor="text1"/>
          <w:spacing w:val="8"/>
          <w:sz w:val="28"/>
          <w:szCs w:val="28"/>
          <w14:textFill>
            <w14:solidFill>
              <w14:schemeClr w14:val="tx1"/>
            </w14:solidFill>
          </w14:textFill>
        </w:rPr>
        <w:t>024</w:t>
      </w:r>
      <w:r>
        <w:rPr>
          <w:rFonts w:hint="eastAsia" w:ascii="仿宋" w:hAnsi="仿宋" w:eastAsia="仿宋" w:cs="仿宋"/>
          <w:color w:val="000000" w:themeColor="text1"/>
          <w:spacing w:val="8"/>
          <w:sz w:val="28"/>
          <w:szCs w:val="28"/>
          <w14:textFill>
            <w14:solidFill>
              <w14:schemeClr w14:val="tx1"/>
            </w14:solidFill>
          </w14:textFill>
        </w:rPr>
        <w:t>年地方政府专项债券发行最新政策要求及包装谋划申报要点</w:t>
      </w:r>
    </w:p>
    <w:p>
      <w:pPr>
        <w:spacing w:line="540" w:lineRule="exact"/>
        <w:ind w:firstLine="592" w:firstLineChars="200"/>
        <w:rPr>
          <w:rFonts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w:t>
      </w:r>
      <w:r>
        <w:rPr>
          <w:rFonts w:hint="eastAsia" w:ascii="仿宋" w:hAnsi="仿宋" w:eastAsia="仿宋" w:cs="仿宋"/>
          <w:color w:val="000000" w:themeColor="text1"/>
          <w:spacing w:val="8"/>
          <w:sz w:val="28"/>
          <w:szCs w:val="28"/>
          <w:lang w:val="en-US" w:eastAsia="zh-CN"/>
          <w14:textFill>
            <w14:solidFill>
              <w14:schemeClr w14:val="tx1"/>
            </w14:solidFill>
          </w14:textFill>
        </w:rPr>
        <w:t>六</w:t>
      </w:r>
      <w:r>
        <w:rPr>
          <w:rFonts w:hint="eastAsia" w:ascii="仿宋" w:hAnsi="仿宋" w:eastAsia="仿宋" w:cs="仿宋"/>
          <w:color w:val="000000" w:themeColor="text1"/>
          <w:spacing w:val="8"/>
          <w:sz w:val="28"/>
          <w:szCs w:val="28"/>
          <w14:textFill>
            <w14:solidFill>
              <w14:schemeClr w14:val="tx1"/>
            </w14:solidFill>
          </w14:textFill>
        </w:rPr>
        <w:t>）学习探讨片区综合开发中前期土地收储及后期支付来源；</w:t>
      </w:r>
    </w:p>
    <w:p>
      <w:pPr>
        <w:spacing w:line="540" w:lineRule="exact"/>
        <w:ind w:firstLine="592" w:firstLineChars="200"/>
        <w:rPr>
          <w:rFonts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w:t>
      </w:r>
      <w:r>
        <w:rPr>
          <w:rFonts w:hint="eastAsia" w:ascii="仿宋" w:hAnsi="仿宋" w:eastAsia="仿宋" w:cs="仿宋"/>
          <w:color w:val="000000" w:themeColor="text1"/>
          <w:spacing w:val="8"/>
          <w:sz w:val="28"/>
          <w:szCs w:val="28"/>
          <w:lang w:val="en-US" w:eastAsia="zh-CN"/>
          <w14:textFill>
            <w14:solidFill>
              <w14:schemeClr w14:val="tx1"/>
            </w14:solidFill>
          </w14:textFill>
        </w:rPr>
        <w:t>七</w:t>
      </w:r>
      <w:r>
        <w:rPr>
          <w:rFonts w:hint="eastAsia" w:ascii="仿宋" w:hAnsi="仿宋" w:eastAsia="仿宋" w:cs="仿宋"/>
          <w:color w:val="000000" w:themeColor="text1"/>
          <w:spacing w:val="8"/>
          <w:sz w:val="28"/>
          <w:szCs w:val="28"/>
          <w14:textFill>
            <w14:solidFill>
              <w14:schemeClr w14:val="tx1"/>
            </w14:solidFill>
          </w14:textFill>
        </w:rPr>
        <w:t>）学习城市更新和城中村改造等投融资操作模式及难点问题解决方案</w:t>
      </w:r>
    </w:p>
    <w:p>
      <w:pPr>
        <w:spacing w:line="540" w:lineRule="exact"/>
        <w:ind w:firstLine="592" w:firstLineChars="200"/>
        <w:rPr>
          <w:rFonts w:ascii="微软雅黑" w:hAnsi="微软雅黑" w:eastAsia="微软雅黑" w:cs="仿宋"/>
          <w:kern w:val="0"/>
          <w:sz w:val="24"/>
          <w:szCs w:val="24"/>
        </w:rPr>
      </w:pPr>
      <w:r>
        <w:rPr>
          <w:rFonts w:hint="eastAsia" w:ascii="仿宋" w:hAnsi="仿宋" w:eastAsia="仿宋" w:cs="仿宋"/>
          <w:color w:val="000000" w:themeColor="text1"/>
          <w:spacing w:val="8"/>
          <w:sz w:val="28"/>
          <w:szCs w:val="28"/>
          <w14:textFill>
            <w14:solidFill>
              <w14:schemeClr w14:val="tx1"/>
            </w14:solidFill>
          </w14:textFill>
        </w:rPr>
        <w:t>（</w:t>
      </w:r>
      <w:r>
        <w:rPr>
          <w:rFonts w:hint="eastAsia" w:ascii="仿宋" w:hAnsi="仿宋" w:eastAsia="仿宋" w:cs="仿宋"/>
          <w:color w:val="000000" w:themeColor="text1"/>
          <w:spacing w:val="8"/>
          <w:sz w:val="28"/>
          <w:szCs w:val="28"/>
          <w:lang w:val="en-US" w:eastAsia="zh-CN"/>
          <w14:textFill>
            <w14:solidFill>
              <w14:schemeClr w14:val="tx1"/>
            </w14:solidFill>
          </w14:textFill>
        </w:rPr>
        <w:t>八</w:t>
      </w:r>
      <w:r>
        <w:rPr>
          <w:rFonts w:hint="eastAsia" w:ascii="仿宋" w:hAnsi="仿宋" w:eastAsia="仿宋" w:cs="仿宋"/>
          <w:color w:val="000000" w:themeColor="text1"/>
          <w:spacing w:val="8"/>
          <w:sz w:val="28"/>
          <w:szCs w:val="28"/>
          <w14:textFill>
            <w14:solidFill>
              <w14:schemeClr w14:val="tx1"/>
            </w14:solidFill>
          </w14:textFill>
        </w:rPr>
        <w:t>）学习政府和城投公司盘活存量资产模式及案例。</w:t>
      </w:r>
    </w:p>
    <w:p>
      <w:pPr>
        <w:spacing w:line="540" w:lineRule="exact"/>
        <w:ind w:firstLine="281" w:firstLineChars="1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二、培训内容</w:t>
      </w:r>
    </w:p>
    <w:p>
      <w:pPr>
        <w:spacing w:line="540" w:lineRule="exact"/>
        <w:ind w:firstLine="562" w:firstLineChars="20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一）超长期特别国债、专项债、中央预算内资申报及谋划实务</w:t>
      </w:r>
    </w:p>
    <w:p>
      <w:pPr>
        <w:spacing w:line="540" w:lineRule="exact"/>
        <w:ind w:firstLine="840" w:firstLineChars="300"/>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1.超长期国债申报点要点几注意事项</w:t>
      </w:r>
    </w:p>
    <w:p>
      <w:pPr>
        <w:numPr>
          <w:ilvl w:val="0"/>
          <w:numId w:val="0"/>
        </w:numPr>
        <w:spacing w:line="540" w:lineRule="exact"/>
        <w:ind w:firstLine="840" w:firstLineChars="300"/>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2.地方政府债劵谋划要点</w:t>
      </w:r>
    </w:p>
    <w:p>
      <w:pPr>
        <w:numPr>
          <w:ilvl w:val="0"/>
          <w:numId w:val="0"/>
        </w:numPr>
        <w:spacing w:line="540" w:lineRule="exact"/>
        <w:ind w:firstLine="840" w:firstLineChars="30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3.中央预算内资金申报要点及项目谋划思路</w:t>
      </w:r>
    </w:p>
    <w:p>
      <w:pPr>
        <w:numPr>
          <w:ilvl w:val="0"/>
          <w:numId w:val="0"/>
        </w:numPr>
        <w:spacing w:line="540" w:lineRule="exact"/>
        <w:ind w:firstLine="840" w:firstLineChars="30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4.</w:t>
      </w:r>
      <w:r>
        <w:rPr>
          <w:rFonts w:hint="default" w:ascii="仿宋" w:hAnsi="仿宋" w:eastAsia="仿宋" w:cs="仿宋"/>
          <w:b w:val="0"/>
          <w:bCs w:val="0"/>
          <w:color w:val="000000" w:themeColor="text1"/>
          <w:sz w:val="28"/>
          <w:szCs w:val="28"/>
          <w:lang w:val="en-US" w:eastAsia="zh-CN"/>
          <w14:textFill>
            <w14:solidFill>
              <w14:schemeClr w14:val="tx1"/>
            </w14:solidFill>
          </w14:textFill>
        </w:rPr>
        <w:t>本次连续发行超长期特别国债的背景分析；</w:t>
      </w:r>
    </w:p>
    <w:p>
      <w:pPr>
        <w:numPr>
          <w:ilvl w:val="0"/>
          <w:numId w:val="0"/>
        </w:numPr>
        <w:spacing w:line="540" w:lineRule="exact"/>
        <w:ind w:firstLine="840" w:firstLineChars="30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5.</w:t>
      </w:r>
      <w:r>
        <w:rPr>
          <w:rFonts w:hint="default" w:ascii="仿宋" w:hAnsi="仿宋" w:eastAsia="仿宋" w:cs="仿宋"/>
          <w:b w:val="0"/>
          <w:bCs w:val="0"/>
          <w:color w:val="000000" w:themeColor="text1"/>
          <w:sz w:val="28"/>
          <w:szCs w:val="28"/>
          <w:lang w:val="en-US" w:eastAsia="zh-CN"/>
          <w14:textFill>
            <w14:solidFill>
              <w14:schemeClr w14:val="tx1"/>
            </w14:solidFill>
          </w14:textFill>
        </w:rPr>
        <w:t>超长期特别国债对地方将带来哪些利好；</w:t>
      </w:r>
    </w:p>
    <w:p>
      <w:pPr>
        <w:numPr>
          <w:ilvl w:val="0"/>
          <w:numId w:val="0"/>
        </w:numPr>
        <w:spacing w:line="540" w:lineRule="exact"/>
        <w:ind w:firstLine="840" w:firstLineChars="30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6.</w:t>
      </w:r>
      <w:r>
        <w:rPr>
          <w:rFonts w:hint="default" w:ascii="仿宋" w:hAnsi="仿宋" w:eastAsia="仿宋" w:cs="仿宋"/>
          <w:b w:val="0"/>
          <w:bCs w:val="0"/>
          <w:color w:val="000000" w:themeColor="text1"/>
          <w:sz w:val="28"/>
          <w:szCs w:val="28"/>
          <w:lang w:val="en-US" w:eastAsia="zh-CN"/>
          <w14:textFill>
            <w14:solidFill>
              <w14:schemeClr w14:val="tx1"/>
            </w14:solidFill>
          </w14:textFill>
        </w:rPr>
        <w:t>超长期特别国债可能支持重点领域和方向分析；</w:t>
      </w:r>
    </w:p>
    <w:p>
      <w:pPr>
        <w:numPr>
          <w:ilvl w:val="0"/>
          <w:numId w:val="0"/>
        </w:numPr>
        <w:spacing w:line="540" w:lineRule="exact"/>
        <w:ind w:firstLine="840" w:firstLineChars="30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7.</w:t>
      </w:r>
      <w:r>
        <w:rPr>
          <w:rFonts w:hint="default" w:ascii="仿宋" w:hAnsi="仿宋" w:eastAsia="仿宋" w:cs="仿宋"/>
          <w:b w:val="0"/>
          <w:bCs w:val="0"/>
          <w:color w:val="000000" w:themeColor="text1"/>
          <w:sz w:val="28"/>
          <w:szCs w:val="28"/>
          <w:lang w:val="en-US" w:eastAsia="zh-CN"/>
          <w14:textFill>
            <w14:solidFill>
              <w14:schemeClr w14:val="tx1"/>
            </w14:solidFill>
          </w14:textFill>
        </w:rPr>
        <w:t>参考万元国债，介绍超长期国债项目包装谋划实务；</w:t>
      </w:r>
    </w:p>
    <w:p>
      <w:pPr>
        <w:numPr>
          <w:ilvl w:val="0"/>
          <w:numId w:val="0"/>
        </w:numPr>
        <w:spacing w:line="540" w:lineRule="exact"/>
        <w:ind w:firstLine="840" w:firstLineChars="3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8.</w:t>
      </w:r>
      <w:r>
        <w:rPr>
          <w:rFonts w:hint="default" w:ascii="仿宋" w:hAnsi="仿宋" w:eastAsia="仿宋" w:cs="仿宋"/>
          <w:b w:val="0"/>
          <w:bCs w:val="0"/>
          <w:color w:val="000000" w:themeColor="text1"/>
          <w:sz w:val="28"/>
          <w:szCs w:val="28"/>
          <w:lang w:val="en-US" w:eastAsia="zh-CN"/>
          <w14:textFill>
            <w14:solidFill>
              <w14:schemeClr w14:val="tx1"/>
            </w14:solidFill>
          </w14:textFill>
        </w:rPr>
        <w:t>2024年超长期特别国债申报流程及准备材料。</w:t>
      </w:r>
    </w:p>
    <w:p>
      <w:pPr>
        <w:spacing w:line="540" w:lineRule="exact"/>
        <w:ind w:firstLine="594" w:firstLineChars="200"/>
        <w:rPr>
          <w:rFonts w:ascii="微软雅黑" w:hAnsi="微软雅黑" w:eastAsia="微软雅黑" w:cs="仿宋"/>
          <w:b/>
          <w:bCs/>
          <w:sz w:val="24"/>
          <w:szCs w:val="24"/>
        </w:rPr>
      </w:pPr>
      <w:r>
        <w:rPr>
          <w:rFonts w:hint="eastAsia" w:ascii="仿宋" w:hAnsi="仿宋" w:eastAsia="仿宋" w:cs="仿宋"/>
          <w:b/>
          <w:bCs/>
          <w:color w:val="000000" w:themeColor="text1"/>
          <w:spacing w:val="8"/>
          <w:sz w:val="28"/>
          <w:szCs w:val="28"/>
          <w14:textFill>
            <w14:solidFill>
              <w14:schemeClr w14:val="tx1"/>
            </w14:solidFill>
          </w14:textFill>
        </w:rPr>
        <w:t>（</w:t>
      </w:r>
      <w:r>
        <w:rPr>
          <w:rFonts w:hint="eastAsia" w:ascii="仿宋" w:hAnsi="仿宋" w:eastAsia="仿宋" w:cs="仿宋"/>
          <w:b/>
          <w:bCs/>
          <w:color w:val="000000" w:themeColor="text1"/>
          <w:spacing w:val="8"/>
          <w:sz w:val="28"/>
          <w:szCs w:val="28"/>
          <w:lang w:val="en-US" w:eastAsia="zh-CN"/>
          <w14:textFill>
            <w14:solidFill>
              <w14:schemeClr w14:val="tx1"/>
            </w14:solidFill>
          </w14:textFill>
        </w:rPr>
        <w:t>二</w:t>
      </w:r>
      <w:r>
        <w:rPr>
          <w:rFonts w:hint="eastAsia" w:ascii="仿宋" w:hAnsi="仿宋" w:eastAsia="仿宋" w:cs="仿宋"/>
          <w:b/>
          <w:bCs/>
          <w:color w:val="000000" w:themeColor="text1"/>
          <w:spacing w:val="8"/>
          <w:sz w:val="28"/>
          <w:szCs w:val="28"/>
          <w14:textFill>
            <w14:solidFill>
              <w14:schemeClr w14:val="tx1"/>
            </w14:solidFill>
          </w14:textFill>
        </w:rPr>
        <w:t>）国家最新关于政府债务化解及投融资政策解析与实务操作</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 国办发2023年35号文（内部文件）要点解析；</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 35号文有关城投公司三种分类解析及相关融资政策；</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 国办47号文及14号文重点要点解析；</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4.《国务院办公厅关于进一步盘活存量资产扩大有效投资的意见》（国办发〔2022〕19号）解析及实务操作；</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w:t>
      </w:r>
      <w:r>
        <w:rPr>
          <w:rFonts w:hint="eastAsia" w:ascii="仿宋" w:hAnsi="仿宋" w:eastAsia="仿宋" w:cs="仿宋"/>
          <w:color w:val="000000" w:themeColor="text1"/>
          <w:spacing w:val="8"/>
          <w:sz w:val="28"/>
          <w:szCs w:val="28"/>
          <w14:textFill>
            <w14:solidFill>
              <w14:schemeClr w14:val="tx1"/>
            </w14:solidFill>
          </w14:textFill>
        </w:rPr>
        <w:fldChar w:fldCharType="begin"/>
      </w:r>
      <w:r>
        <w:rPr>
          <w:rFonts w:hint="eastAsia" w:ascii="仿宋" w:hAnsi="仿宋" w:eastAsia="仿宋" w:cs="仿宋"/>
          <w:color w:val="000000" w:themeColor="text1"/>
          <w:spacing w:val="8"/>
          <w:sz w:val="28"/>
          <w:szCs w:val="28"/>
          <w14:textFill>
            <w14:solidFill>
              <w14:schemeClr w14:val="tx1"/>
            </w14:solidFill>
          </w14:textFill>
        </w:rPr>
        <w:instrText xml:space="preserve"> HYPERLINK "https://database.caixin.com/2023-11-08/102126106.html" \t "_self" </w:instrText>
      </w:r>
      <w:r>
        <w:rPr>
          <w:rFonts w:hint="eastAsia" w:ascii="仿宋" w:hAnsi="仿宋" w:eastAsia="仿宋" w:cs="仿宋"/>
          <w:color w:val="000000" w:themeColor="text1"/>
          <w:spacing w:val="8"/>
          <w:sz w:val="28"/>
          <w:szCs w:val="28"/>
          <w14:textFill>
            <w14:solidFill>
              <w14:schemeClr w14:val="tx1"/>
            </w14:solidFill>
          </w14:textFill>
        </w:rPr>
        <w:fldChar w:fldCharType="separate"/>
      </w:r>
      <w:r>
        <w:rPr>
          <w:rFonts w:hint="eastAsia" w:ascii="仿宋" w:hAnsi="仿宋" w:eastAsia="仿宋" w:cs="仿宋"/>
          <w:color w:val="000000" w:themeColor="text1"/>
          <w:spacing w:val="8"/>
          <w:sz w:val="28"/>
          <w:szCs w:val="28"/>
          <w14:textFill>
            <w14:solidFill>
              <w14:schemeClr w14:val="tx1"/>
            </w14:solidFill>
          </w14:textFill>
        </w:rPr>
        <w:t>关于规范实施政府和社会资本合作新机制的指导意见</w:t>
      </w:r>
      <w:r>
        <w:rPr>
          <w:rFonts w:hint="eastAsia" w:ascii="仿宋" w:hAnsi="仿宋" w:eastAsia="仿宋" w:cs="仿宋"/>
          <w:color w:val="000000" w:themeColor="text1"/>
          <w:spacing w:val="8"/>
          <w:sz w:val="28"/>
          <w:szCs w:val="28"/>
          <w14:textFill>
            <w14:solidFill>
              <w14:schemeClr w14:val="tx1"/>
            </w14:solidFill>
          </w14:textFill>
        </w:rPr>
        <w:fldChar w:fldCharType="end"/>
      </w:r>
      <w:r>
        <w:rPr>
          <w:rFonts w:hint="eastAsia" w:ascii="仿宋" w:hAnsi="仿宋" w:eastAsia="仿宋" w:cs="仿宋"/>
          <w:color w:val="000000" w:themeColor="text1"/>
          <w:spacing w:val="8"/>
          <w:sz w:val="28"/>
          <w:szCs w:val="28"/>
          <w14:textFill>
            <w14:solidFill>
              <w14:schemeClr w14:val="tx1"/>
            </w14:solidFill>
          </w14:textFill>
        </w:rPr>
        <w:t>》（国办函〔2023〕115号）解析及实务；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6.《基础设施和公用事业特许经营管理办法》（修订征求意见稿）解析及实务；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7.《国家发展改革委关于印发投资项目可行性研究报告编写大纲及说明的通知》（发改投资规〔2023〕304号）解析及实务。</w:t>
      </w:r>
    </w:p>
    <w:p>
      <w:pPr>
        <w:spacing w:line="540" w:lineRule="exact"/>
        <w:ind w:firstLine="594" w:firstLineChars="200"/>
        <w:rPr>
          <w:rFonts w:hint="eastAsia" w:ascii="仿宋" w:hAnsi="仿宋" w:eastAsia="仿宋" w:cs="仿宋"/>
          <w:b/>
          <w:bCs/>
          <w:color w:val="000000" w:themeColor="text1"/>
          <w:spacing w:val="8"/>
          <w:sz w:val="28"/>
          <w:szCs w:val="28"/>
          <w14:textFill>
            <w14:solidFill>
              <w14:schemeClr w14:val="tx1"/>
            </w14:solidFill>
          </w14:textFill>
        </w:rPr>
      </w:pPr>
      <w:r>
        <w:rPr>
          <w:rFonts w:hint="eastAsia" w:ascii="仿宋" w:hAnsi="仿宋" w:eastAsia="仿宋" w:cs="仿宋"/>
          <w:b/>
          <w:bCs/>
          <w:color w:val="000000" w:themeColor="text1"/>
          <w:spacing w:val="8"/>
          <w:sz w:val="28"/>
          <w:szCs w:val="28"/>
          <w14:textFill>
            <w14:solidFill>
              <w14:schemeClr w14:val="tx1"/>
            </w14:solidFill>
          </w14:textFill>
        </w:rPr>
        <w:t>（</w:t>
      </w:r>
      <w:r>
        <w:rPr>
          <w:rFonts w:hint="eastAsia" w:ascii="仿宋" w:hAnsi="仿宋" w:eastAsia="仿宋" w:cs="仿宋"/>
          <w:b/>
          <w:bCs/>
          <w:color w:val="000000" w:themeColor="text1"/>
          <w:spacing w:val="8"/>
          <w:sz w:val="28"/>
          <w:szCs w:val="28"/>
          <w:lang w:val="en-US" w:eastAsia="zh-CN"/>
          <w14:textFill>
            <w14:solidFill>
              <w14:schemeClr w14:val="tx1"/>
            </w14:solidFill>
          </w14:textFill>
        </w:rPr>
        <w:t>三</w:t>
      </w:r>
      <w:r>
        <w:rPr>
          <w:rFonts w:hint="eastAsia" w:ascii="仿宋" w:hAnsi="仿宋" w:eastAsia="仿宋" w:cs="仿宋"/>
          <w:b/>
          <w:bCs/>
          <w:color w:val="000000" w:themeColor="text1"/>
          <w:spacing w:val="8"/>
          <w:sz w:val="28"/>
          <w:szCs w:val="28"/>
          <w14:textFill>
            <w14:solidFill>
              <w14:schemeClr w14:val="tx1"/>
            </w14:solidFill>
          </w14:textFill>
        </w:rPr>
        <w:t>）35号文和14号文下融资平台公司金融支持化债及实务案例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1.怎样理解名单内的融资平台融资“限制”和融资“福利”；</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2.名单内融资平台公司针对存量债务进行借新还旧要求及案例；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3.名单内融资平台公司金融支持化债政策与实务；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4.名单外参考融资平台公司管理的融资导向及实务；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 名单外参考融资平台公司管理的新增融资条件及案例；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6.融资平台公司产业转型标准解析及主体选择；</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7.融资平台公司今明两年化债融资政策导向；</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8.建立防范融资平台公司债务风险长效机制有哪些；</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9.处于高风险地区或财务指标不达标时如何开展融资；</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10.未处于高风险地且达到相关财务指标的情况下如何开展融资；</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11. 选报地级市参考重点省份债务化解实务；</w:t>
      </w:r>
    </w:p>
    <w:p>
      <w:pPr>
        <w:spacing w:line="540" w:lineRule="exact"/>
        <w:ind w:firstLine="888" w:firstLineChars="300"/>
        <w:rPr>
          <w:rFonts w:ascii="微软雅黑" w:hAnsi="微软雅黑" w:eastAsia="微软雅黑"/>
          <w:bCs/>
          <w:sz w:val="24"/>
          <w:szCs w:val="24"/>
        </w:rPr>
      </w:pPr>
      <w:r>
        <w:rPr>
          <w:rFonts w:hint="eastAsia" w:ascii="仿宋" w:hAnsi="仿宋" w:eastAsia="仿宋" w:cs="仿宋"/>
          <w:color w:val="000000" w:themeColor="text1"/>
          <w:spacing w:val="8"/>
          <w:sz w:val="28"/>
          <w:szCs w:val="28"/>
          <w14:textFill>
            <w14:solidFill>
              <w14:schemeClr w14:val="tx1"/>
            </w14:solidFill>
          </w14:textFill>
        </w:rPr>
        <w:t>12. 选报地级市融资平台公司借新还旧及新增融资。</w:t>
      </w:r>
    </w:p>
    <w:p>
      <w:pPr>
        <w:spacing w:line="540" w:lineRule="exact"/>
        <w:ind w:firstLine="594" w:firstLineChars="200"/>
        <w:rPr>
          <w:rFonts w:hint="eastAsia" w:ascii="仿宋" w:hAnsi="仿宋" w:eastAsia="仿宋" w:cs="仿宋"/>
          <w:b/>
          <w:bCs/>
          <w:color w:val="000000" w:themeColor="text1"/>
          <w:spacing w:val="8"/>
          <w:sz w:val="28"/>
          <w:szCs w:val="28"/>
          <w14:textFill>
            <w14:solidFill>
              <w14:schemeClr w14:val="tx1"/>
            </w14:solidFill>
          </w14:textFill>
        </w:rPr>
      </w:pPr>
      <w:r>
        <w:rPr>
          <w:rFonts w:hint="eastAsia" w:ascii="仿宋" w:hAnsi="仿宋" w:eastAsia="仿宋" w:cs="仿宋"/>
          <w:b/>
          <w:bCs/>
          <w:color w:val="000000" w:themeColor="text1"/>
          <w:spacing w:val="8"/>
          <w:sz w:val="28"/>
          <w:szCs w:val="28"/>
          <w14:textFill>
            <w14:solidFill>
              <w14:schemeClr w14:val="tx1"/>
            </w14:solidFill>
          </w14:textFill>
        </w:rPr>
        <w:t>（</w:t>
      </w:r>
      <w:r>
        <w:rPr>
          <w:rFonts w:hint="eastAsia" w:ascii="仿宋" w:hAnsi="仿宋" w:eastAsia="仿宋" w:cs="仿宋"/>
          <w:b/>
          <w:bCs/>
          <w:color w:val="000000" w:themeColor="text1"/>
          <w:spacing w:val="8"/>
          <w:sz w:val="28"/>
          <w:szCs w:val="28"/>
          <w:lang w:val="en-US" w:eastAsia="zh-CN"/>
          <w14:textFill>
            <w14:solidFill>
              <w14:schemeClr w14:val="tx1"/>
            </w14:solidFill>
          </w14:textFill>
        </w:rPr>
        <w:t>四</w:t>
      </w:r>
      <w:r>
        <w:rPr>
          <w:rFonts w:hint="eastAsia" w:ascii="仿宋" w:hAnsi="仿宋" w:eastAsia="仿宋" w:cs="仿宋"/>
          <w:b/>
          <w:bCs/>
          <w:color w:val="000000" w:themeColor="text1"/>
          <w:spacing w:val="8"/>
          <w:sz w:val="28"/>
          <w:szCs w:val="28"/>
          <w14:textFill>
            <w14:solidFill>
              <w14:schemeClr w14:val="tx1"/>
            </w14:solidFill>
          </w14:textFill>
        </w:rPr>
        <w:t>）容易形成政府隐性债务风险来源与防范及案例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1.地方政府为贷款主体承担担保责任及案例；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2.地方政府承诺财政资金偿还项目融资及案例；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3.构成政府中长期支出责任（产业基金、PPP、购买服务）及案例；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4.地方政府部门向本地国企借款及案例；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5.政府购买服务合同将工程和服务项目打包及案例；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6.以预期土地出让收入作为项目还款来源及案例。</w:t>
      </w:r>
    </w:p>
    <w:p>
      <w:pPr>
        <w:spacing w:line="540" w:lineRule="exact"/>
        <w:ind w:firstLine="594" w:firstLineChars="200"/>
        <w:rPr>
          <w:rFonts w:ascii="微软雅黑" w:hAnsi="微软雅黑" w:eastAsia="微软雅黑"/>
          <w:b/>
          <w:bCs/>
          <w:sz w:val="24"/>
          <w:szCs w:val="24"/>
        </w:rPr>
      </w:pPr>
      <w:r>
        <w:rPr>
          <w:rFonts w:hint="eastAsia" w:ascii="仿宋" w:hAnsi="仿宋" w:eastAsia="仿宋" w:cs="仿宋"/>
          <w:b/>
          <w:bCs/>
          <w:color w:val="000000" w:themeColor="text1"/>
          <w:spacing w:val="8"/>
          <w:sz w:val="28"/>
          <w:szCs w:val="28"/>
          <w14:textFill>
            <w14:solidFill>
              <w14:schemeClr w14:val="tx1"/>
            </w14:solidFill>
          </w14:textFill>
        </w:rPr>
        <w:t>（</w:t>
      </w:r>
      <w:r>
        <w:rPr>
          <w:rFonts w:hint="eastAsia" w:ascii="仿宋" w:hAnsi="仿宋" w:eastAsia="仿宋" w:cs="仿宋"/>
          <w:b/>
          <w:bCs/>
          <w:color w:val="000000" w:themeColor="text1"/>
          <w:spacing w:val="8"/>
          <w:sz w:val="28"/>
          <w:szCs w:val="28"/>
          <w:lang w:val="en-US" w:eastAsia="zh-CN"/>
          <w14:textFill>
            <w14:solidFill>
              <w14:schemeClr w14:val="tx1"/>
            </w14:solidFill>
          </w14:textFill>
        </w:rPr>
        <w:t>五</w:t>
      </w:r>
      <w:r>
        <w:rPr>
          <w:rFonts w:hint="eastAsia" w:ascii="仿宋" w:hAnsi="仿宋" w:eastAsia="仿宋" w:cs="仿宋"/>
          <w:b/>
          <w:bCs/>
          <w:color w:val="000000" w:themeColor="text1"/>
          <w:spacing w:val="8"/>
          <w:sz w:val="28"/>
          <w:szCs w:val="28"/>
          <w14:textFill>
            <w14:solidFill>
              <w14:schemeClr w14:val="tx1"/>
            </w14:solidFill>
          </w14:textFill>
        </w:rPr>
        <w:t>）债务高风险地区地方政府投资项目分类管理实务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1.政府投资项目与企业投资项目主要区别要点；</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2.债务高风险地区政府投资项目分类及实施途径；</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 债务高风险地区要控制哪些政府投资项目？</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 债务高风险地区哪些政府投资项目需停建及调整；</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 债务高风险地区政府投资项目如何申请政府专项债券。</w:t>
      </w:r>
    </w:p>
    <w:p>
      <w:pPr>
        <w:pStyle w:val="8"/>
        <w:shd w:val="clear" w:color="auto" w:fill="FFFFFF"/>
        <w:spacing w:before="0" w:beforeAutospacing="0" w:after="0" w:afterAutospacing="0" w:line="540" w:lineRule="exact"/>
        <w:ind w:firstLine="594" w:firstLineChars="200"/>
        <w:jc w:val="both"/>
        <w:rPr>
          <w:rFonts w:ascii="微软雅黑" w:hAnsi="微软雅黑" w:eastAsia="微软雅黑" w:cs="仿宋"/>
          <w:b/>
          <w:bCs/>
        </w:rPr>
      </w:pPr>
      <w:r>
        <w:rPr>
          <w:rFonts w:hint="eastAsia" w:ascii="仿宋" w:hAnsi="仿宋" w:eastAsia="仿宋" w:cs="仿宋"/>
          <w:b/>
          <w:bCs/>
          <w:color w:val="000000" w:themeColor="text1"/>
          <w:spacing w:val="8"/>
          <w:sz w:val="28"/>
          <w:szCs w:val="28"/>
          <w:lang w:val="en-US" w:eastAsia="zh-CN" w:bidi="ar-SA"/>
          <w14:textFill>
            <w14:solidFill>
              <w14:schemeClr w14:val="tx1"/>
            </w14:solidFill>
          </w14:textFill>
        </w:rPr>
        <w:t>（六）PPP新机制和特许经营政策及操作实务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1.如何理解PPP新机制聚焦的使用者付费项目；</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2.使用者付费项目如何使用财政资金对项目进行支持；</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3.如何理解政府投资支持与政府付费区别；</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4.存量PPP项目如何整改及案例；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5.存量PPP项目发行REITS融资条件及案例；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6.存量PPP政府付费项目如何在票据市场融资及案例；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7.央企与地方国企如何参与应由民营企业控股的PPP项目;</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8.如何把握PPP项目新老划断的具体标准；</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9.通过“打捆”形式实施特许经营需要注意的问题；</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10.PPP模式与直接授权地方国有企业实施项目注意区别及范畴</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11.如何编写特许经营方案；</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12.社会投资人投资的项目，政府是否可以仅给予投资补助；</w:t>
      </w:r>
    </w:p>
    <w:p>
      <w:pPr>
        <w:spacing w:line="540" w:lineRule="exact"/>
        <w:ind w:firstLine="888" w:firstLineChars="300"/>
        <w:rPr>
          <w:rFonts w:ascii="微软雅黑" w:hAnsi="微软雅黑" w:eastAsia="微软雅黑"/>
          <w:b w:val="0"/>
          <w:color w:val="auto"/>
          <w:sz w:val="24"/>
          <w:szCs w:val="24"/>
        </w:rPr>
      </w:pPr>
      <w:r>
        <w:rPr>
          <w:rFonts w:hint="eastAsia" w:ascii="仿宋" w:hAnsi="仿宋" w:eastAsia="仿宋" w:cs="仿宋"/>
          <w:color w:val="000000" w:themeColor="text1"/>
          <w:spacing w:val="8"/>
          <w:sz w:val="28"/>
          <w:szCs w:val="28"/>
          <w14:textFill>
            <w14:solidFill>
              <w14:schemeClr w14:val="tx1"/>
            </w14:solidFill>
          </w14:textFill>
        </w:rPr>
        <w:t>13.改扩建项目是否必须重新通过公开竞争方式选择特许经营者。</w:t>
      </w:r>
    </w:p>
    <w:p>
      <w:pPr>
        <w:spacing w:line="540" w:lineRule="exact"/>
        <w:ind w:firstLine="594" w:firstLineChars="200"/>
        <w:rPr>
          <w:rFonts w:ascii="微软雅黑" w:hAnsi="微软雅黑" w:eastAsia="微软雅黑"/>
          <w:b/>
          <w:sz w:val="24"/>
          <w:szCs w:val="24"/>
        </w:rPr>
      </w:pPr>
      <w:r>
        <w:rPr>
          <w:rFonts w:hint="eastAsia" w:ascii="仿宋" w:hAnsi="仿宋" w:eastAsia="仿宋" w:cs="仿宋"/>
          <w:b/>
          <w:bCs/>
          <w:color w:val="000000" w:themeColor="text1"/>
          <w:spacing w:val="8"/>
          <w:sz w:val="28"/>
          <w:szCs w:val="28"/>
          <w:lang w:val="en-US" w:eastAsia="zh-CN" w:bidi="ar-SA"/>
          <w14:textFill>
            <w14:solidFill>
              <w14:schemeClr w14:val="tx1"/>
            </w14:solidFill>
          </w14:textFill>
        </w:rPr>
        <w:t>（七）新政下“三大工程”合规运作及金融支持实务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1.“三大工程“政策解析与投融资模式及案例；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2.政府投资+委托代建模式应用及案例；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3.政府支持+授权开发模式应用及案例；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4.政府和社会资本合作模式应用及案例；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5.“三大工程“能否应用土地开发一二级联动如何应用？</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6.城中村改造投融资开发模式及案例（房票安置、回购安置、工业上楼、专项债券等）；</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7.保障性住房投融资模式及案例（政府采购、授权模式、专项债模式）；</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8.“平急两用“公共基础设施建设项目投融资模式及案例。</w:t>
      </w:r>
    </w:p>
    <w:p>
      <w:pPr>
        <w:spacing w:line="540" w:lineRule="exact"/>
        <w:ind w:firstLine="594" w:firstLineChars="200"/>
        <w:rPr>
          <w:rFonts w:ascii="微软雅黑" w:hAnsi="微软雅黑" w:eastAsia="微软雅黑"/>
          <w:b/>
          <w:sz w:val="24"/>
          <w:szCs w:val="24"/>
        </w:rPr>
      </w:pPr>
      <w:r>
        <w:rPr>
          <w:rFonts w:hint="eastAsia" w:ascii="仿宋" w:hAnsi="仿宋" w:eastAsia="仿宋" w:cs="仿宋"/>
          <w:b/>
          <w:bCs/>
          <w:color w:val="000000" w:themeColor="text1"/>
          <w:spacing w:val="8"/>
          <w:sz w:val="28"/>
          <w:szCs w:val="28"/>
          <w:lang w:val="en-US" w:eastAsia="zh-CN" w:bidi="ar-SA"/>
          <w14:textFill>
            <w14:solidFill>
              <w14:schemeClr w14:val="tx1"/>
            </w14:solidFill>
          </w14:textFill>
        </w:rPr>
        <w:t>（八）新导则下EOD项目实施及案例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 EOD项目</w:t>
      </w:r>
      <w:r>
        <w:rPr>
          <w:rFonts w:hint="eastAsia" w:ascii="仿宋" w:hAnsi="仿宋" w:eastAsia="仿宋" w:cs="仿宋"/>
          <w:color w:val="000000" w:themeColor="text1"/>
          <w:spacing w:val="8"/>
          <w:sz w:val="28"/>
          <w:szCs w:val="28"/>
          <w:lang w:eastAsia="zh-Hans"/>
          <w14:textFill>
            <w14:solidFill>
              <w14:schemeClr w14:val="tx1"/>
            </w14:solidFill>
          </w14:textFill>
        </w:rPr>
        <w:t>最新“</w:t>
      </w:r>
      <w:r>
        <w:rPr>
          <w:rFonts w:hint="eastAsia" w:ascii="仿宋" w:hAnsi="仿宋" w:eastAsia="仿宋" w:cs="仿宋"/>
          <w:color w:val="000000" w:themeColor="text1"/>
          <w:spacing w:val="8"/>
          <w:sz w:val="28"/>
          <w:szCs w:val="28"/>
          <w14:textFill>
            <w14:solidFill>
              <w14:schemeClr w14:val="tx1"/>
            </w14:solidFill>
          </w14:textFill>
        </w:rPr>
        <w:t>实施导则</w:t>
      </w:r>
      <w:r>
        <w:rPr>
          <w:rFonts w:hint="eastAsia" w:ascii="仿宋" w:hAnsi="仿宋" w:eastAsia="仿宋" w:cs="仿宋"/>
          <w:color w:val="000000" w:themeColor="text1"/>
          <w:spacing w:val="8"/>
          <w:sz w:val="28"/>
          <w:szCs w:val="28"/>
          <w:lang w:eastAsia="zh-Hans"/>
          <w14:textFill>
            <w14:solidFill>
              <w14:schemeClr w14:val="tx1"/>
            </w14:solidFill>
          </w14:textFill>
        </w:rPr>
        <w:t>”</w:t>
      </w:r>
      <w:r>
        <w:rPr>
          <w:rFonts w:hint="eastAsia" w:ascii="仿宋" w:hAnsi="仿宋" w:eastAsia="仿宋" w:cs="仿宋"/>
          <w:color w:val="000000" w:themeColor="text1"/>
          <w:spacing w:val="8"/>
          <w:sz w:val="28"/>
          <w:szCs w:val="28"/>
          <w14:textFill>
            <w14:solidFill>
              <w14:schemeClr w14:val="tx1"/>
            </w14:solidFill>
          </w14:textFill>
        </w:rPr>
        <w:t>重点内容解读；</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 EOD</w:t>
      </w:r>
      <w:r>
        <w:rPr>
          <w:rFonts w:hint="eastAsia" w:ascii="仿宋" w:hAnsi="仿宋" w:eastAsia="仿宋" w:cs="仿宋"/>
          <w:color w:val="000000" w:themeColor="text1"/>
          <w:spacing w:val="8"/>
          <w:sz w:val="28"/>
          <w:szCs w:val="28"/>
          <w:lang w:eastAsia="zh-Hans"/>
          <w14:textFill>
            <w14:solidFill>
              <w14:schemeClr w14:val="tx1"/>
            </w14:solidFill>
          </w14:textFill>
        </w:rPr>
        <w:t>“</w:t>
      </w:r>
      <w:r>
        <w:rPr>
          <w:rFonts w:hint="eastAsia" w:ascii="仿宋" w:hAnsi="仿宋" w:eastAsia="仿宋" w:cs="仿宋"/>
          <w:color w:val="000000" w:themeColor="text1"/>
          <w:spacing w:val="8"/>
          <w:sz w:val="28"/>
          <w:szCs w:val="28"/>
          <w14:textFill>
            <w14:solidFill>
              <w14:schemeClr w14:val="tx1"/>
            </w14:solidFill>
          </w14:textFill>
        </w:rPr>
        <w:t>实施导则</w:t>
      </w:r>
      <w:r>
        <w:rPr>
          <w:rFonts w:hint="eastAsia" w:ascii="仿宋" w:hAnsi="仿宋" w:eastAsia="仿宋" w:cs="仿宋"/>
          <w:color w:val="000000" w:themeColor="text1"/>
          <w:spacing w:val="8"/>
          <w:sz w:val="28"/>
          <w:szCs w:val="28"/>
          <w:lang w:eastAsia="zh-Hans"/>
          <w14:textFill>
            <w14:solidFill>
              <w14:schemeClr w14:val="tx1"/>
            </w14:solidFill>
          </w14:textFill>
        </w:rPr>
        <w:t>”</w:t>
      </w:r>
      <w:r>
        <w:rPr>
          <w:rFonts w:hint="eastAsia" w:ascii="仿宋" w:hAnsi="仿宋" w:eastAsia="仿宋" w:cs="仿宋"/>
          <w:color w:val="000000" w:themeColor="text1"/>
          <w:spacing w:val="8"/>
          <w:sz w:val="28"/>
          <w:szCs w:val="28"/>
          <w14:textFill>
            <w14:solidFill>
              <w14:schemeClr w14:val="tx1"/>
            </w14:solidFill>
          </w14:textFill>
        </w:rPr>
        <w:t>与《入库指南》主要变化要点；</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 EOD项目环境治理内容范围变化及“负面清单”；</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4.EOD项目实施主体如何选择和确定？</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5.“新版”EOD项目实施方案的重大变化；</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 xml:space="preserve">6. EOD项目的投资估算、资金筹措、财务测算； </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7.“新导则”下EOD项目实施模式选择及资金来源；</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8.“新导则”下EOD项目合规要点把握；</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9.EOD模式典型案例分析专题。</w:t>
      </w:r>
    </w:p>
    <w:p>
      <w:pPr>
        <w:spacing w:line="360" w:lineRule="auto"/>
        <w:ind w:firstLine="594" w:firstLineChars="200"/>
        <w:rPr>
          <w:rFonts w:ascii="微软雅黑" w:hAnsi="微软雅黑" w:eastAsia="微软雅黑" w:cs="新宋体"/>
          <w:b/>
          <w:bCs/>
          <w:sz w:val="24"/>
          <w:szCs w:val="24"/>
        </w:rPr>
      </w:pPr>
      <w:r>
        <w:rPr>
          <w:rFonts w:hint="eastAsia" w:ascii="仿宋" w:hAnsi="仿宋" w:eastAsia="仿宋" w:cs="仿宋"/>
          <w:b/>
          <w:bCs/>
          <w:color w:val="000000" w:themeColor="text1"/>
          <w:spacing w:val="8"/>
          <w:sz w:val="28"/>
          <w:szCs w:val="28"/>
          <w:lang w:val="en-US" w:eastAsia="zh-CN" w:bidi="ar-SA"/>
          <w14:textFill>
            <w14:solidFill>
              <w14:schemeClr w14:val="tx1"/>
            </w14:solidFill>
          </w14:textFill>
        </w:rPr>
        <w:t>（九）新政策下片区综合开发如何开展</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1.</w:t>
      </w:r>
      <w:r>
        <w:rPr>
          <w:rFonts w:hint="eastAsia" w:ascii="仿宋" w:hAnsi="仿宋" w:eastAsia="仿宋" w:cs="仿宋"/>
          <w:color w:val="000000" w:themeColor="text1"/>
          <w:spacing w:val="8"/>
          <w:sz w:val="28"/>
          <w:szCs w:val="28"/>
          <w:lang w:eastAsia="zh-Hans"/>
          <w14:textFill>
            <w14:solidFill>
              <w14:schemeClr w14:val="tx1"/>
            </w14:solidFill>
          </w14:textFill>
        </w:rPr>
        <w:t xml:space="preserve"> 片区</w:t>
      </w:r>
      <w:r>
        <w:rPr>
          <w:rFonts w:hint="eastAsia" w:ascii="仿宋" w:hAnsi="仿宋" w:eastAsia="仿宋" w:cs="仿宋"/>
          <w:color w:val="000000" w:themeColor="text1"/>
          <w:spacing w:val="8"/>
          <w:sz w:val="28"/>
          <w:szCs w:val="28"/>
          <w14:textFill>
            <w14:solidFill>
              <w14:schemeClr w14:val="tx1"/>
            </w14:solidFill>
          </w14:textFill>
        </w:rPr>
        <w:t>综合</w:t>
      </w:r>
      <w:r>
        <w:rPr>
          <w:rFonts w:hint="eastAsia" w:ascii="仿宋" w:hAnsi="仿宋" w:eastAsia="仿宋" w:cs="仿宋"/>
          <w:color w:val="000000" w:themeColor="text1"/>
          <w:spacing w:val="8"/>
          <w:sz w:val="28"/>
          <w:szCs w:val="28"/>
          <w:lang w:eastAsia="zh-Hans"/>
          <w14:textFill>
            <w14:solidFill>
              <w14:schemeClr w14:val="tx1"/>
            </w14:solidFill>
          </w14:textFill>
        </w:rPr>
        <w:t>开发与</w:t>
      </w:r>
      <w:r>
        <w:rPr>
          <w:rFonts w:hint="eastAsia" w:ascii="仿宋" w:hAnsi="仿宋" w:eastAsia="仿宋" w:cs="仿宋"/>
          <w:color w:val="000000" w:themeColor="text1"/>
          <w:spacing w:val="8"/>
          <w:sz w:val="28"/>
          <w:szCs w:val="28"/>
          <w14:textFill>
            <w14:solidFill>
              <w14:schemeClr w14:val="tx1"/>
            </w14:solidFill>
          </w14:textFill>
        </w:rPr>
        <w:t>“投资人+EPC”“EPC+F+0”；</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2.</w:t>
      </w:r>
      <w:r>
        <w:rPr>
          <w:rFonts w:hint="eastAsia" w:ascii="仿宋" w:hAnsi="仿宋" w:eastAsia="仿宋" w:cs="仿宋"/>
          <w:color w:val="000000" w:themeColor="text1"/>
          <w:spacing w:val="8"/>
          <w:sz w:val="28"/>
          <w:szCs w:val="28"/>
          <w:lang w:eastAsia="zh-Hans"/>
          <w14:textFill>
            <w14:solidFill>
              <w14:schemeClr w14:val="tx1"/>
            </w14:solidFill>
          </w14:textFill>
        </w:rPr>
        <w:t>片区</w:t>
      </w:r>
      <w:r>
        <w:rPr>
          <w:rFonts w:hint="eastAsia" w:ascii="仿宋" w:hAnsi="仿宋" w:eastAsia="仿宋" w:cs="仿宋"/>
          <w:color w:val="000000" w:themeColor="text1"/>
          <w:spacing w:val="8"/>
          <w:sz w:val="28"/>
          <w:szCs w:val="28"/>
          <w14:textFill>
            <w14:solidFill>
              <w14:schemeClr w14:val="tx1"/>
            </w14:solidFill>
          </w14:textFill>
        </w:rPr>
        <w:t>综合</w:t>
      </w:r>
      <w:r>
        <w:rPr>
          <w:rFonts w:hint="eastAsia" w:ascii="仿宋" w:hAnsi="仿宋" w:eastAsia="仿宋" w:cs="仿宋"/>
          <w:color w:val="000000" w:themeColor="text1"/>
          <w:spacing w:val="8"/>
          <w:sz w:val="28"/>
          <w:szCs w:val="28"/>
          <w:lang w:eastAsia="zh-Hans"/>
          <w14:textFill>
            <w14:solidFill>
              <w14:schemeClr w14:val="tx1"/>
            </w14:solidFill>
          </w14:textFill>
        </w:rPr>
        <w:t>开发</w:t>
      </w:r>
      <w:r>
        <w:rPr>
          <w:rFonts w:hint="eastAsia" w:ascii="仿宋" w:hAnsi="仿宋" w:eastAsia="仿宋" w:cs="仿宋"/>
          <w:color w:val="000000" w:themeColor="text1"/>
          <w:spacing w:val="8"/>
          <w:sz w:val="28"/>
          <w:szCs w:val="28"/>
          <w14:textFill>
            <w14:solidFill>
              <w14:schemeClr w14:val="tx1"/>
            </w14:solidFill>
          </w14:textFill>
        </w:rPr>
        <w:t>能否使用“</w:t>
      </w:r>
      <w:r>
        <w:rPr>
          <w:rFonts w:hint="eastAsia" w:ascii="仿宋" w:hAnsi="仿宋" w:eastAsia="仿宋" w:cs="仿宋"/>
          <w:color w:val="000000" w:themeColor="text1"/>
          <w:spacing w:val="8"/>
          <w:sz w:val="28"/>
          <w:szCs w:val="28"/>
          <w:lang w:eastAsia="zh-Hans"/>
          <w14:textFill>
            <w14:solidFill>
              <w14:schemeClr w14:val="tx1"/>
            </w14:solidFill>
          </w14:textFill>
        </w:rPr>
        <w:t>特许</w:t>
      </w:r>
      <w:r>
        <w:rPr>
          <w:rFonts w:hint="eastAsia" w:ascii="仿宋" w:hAnsi="仿宋" w:eastAsia="仿宋" w:cs="仿宋"/>
          <w:color w:val="000000" w:themeColor="text1"/>
          <w:spacing w:val="8"/>
          <w:sz w:val="28"/>
          <w:szCs w:val="28"/>
          <w14:textFill>
            <w14:solidFill>
              <w14:schemeClr w14:val="tx1"/>
            </w14:solidFill>
          </w14:textFill>
        </w:rPr>
        <w:t>经营模式”，使用条件分析；</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3.</w:t>
      </w:r>
      <w:r>
        <w:rPr>
          <w:rFonts w:hint="eastAsia" w:ascii="仿宋" w:hAnsi="仿宋" w:eastAsia="仿宋" w:cs="仿宋"/>
          <w:color w:val="000000" w:themeColor="text1"/>
          <w:spacing w:val="8"/>
          <w:sz w:val="28"/>
          <w:szCs w:val="28"/>
          <w:lang w:eastAsia="zh-Hans"/>
          <w14:textFill>
            <w14:solidFill>
              <w14:schemeClr w14:val="tx1"/>
            </w14:solidFill>
          </w14:textFill>
        </w:rPr>
        <w:t xml:space="preserve"> 片区</w:t>
      </w:r>
      <w:r>
        <w:rPr>
          <w:rFonts w:hint="eastAsia" w:ascii="仿宋" w:hAnsi="仿宋" w:eastAsia="仿宋" w:cs="仿宋"/>
          <w:color w:val="000000" w:themeColor="text1"/>
          <w:spacing w:val="8"/>
          <w:sz w:val="28"/>
          <w:szCs w:val="28"/>
          <w14:textFill>
            <w14:solidFill>
              <w14:schemeClr w14:val="tx1"/>
            </w14:solidFill>
          </w14:textFill>
        </w:rPr>
        <w:t>综合</w:t>
      </w:r>
      <w:r>
        <w:rPr>
          <w:rFonts w:hint="eastAsia" w:ascii="仿宋" w:hAnsi="仿宋" w:eastAsia="仿宋" w:cs="仿宋"/>
          <w:color w:val="000000" w:themeColor="text1"/>
          <w:spacing w:val="8"/>
          <w:sz w:val="28"/>
          <w:szCs w:val="28"/>
          <w:lang w:eastAsia="zh-Hans"/>
          <w14:textFill>
            <w14:solidFill>
              <w14:schemeClr w14:val="tx1"/>
            </w14:solidFill>
          </w14:textFill>
        </w:rPr>
        <w:t>开发与土地出让金</w:t>
      </w:r>
      <w:r>
        <w:rPr>
          <w:rFonts w:hint="eastAsia" w:ascii="仿宋" w:hAnsi="仿宋" w:eastAsia="仿宋" w:cs="仿宋"/>
          <w:color w:val="000000" w:themeColor="text1"/>
          <w:spacing w:val="8"/>
          <w:sz w:val="28"/>
          <w:szCs w:val="28"/>
          <w14:textFill>
            <w14:solidFill>
              <w14:schemeClr w14:val="tx1"/>
            </w14:solidFill>
          </w14:textFill>
        </w:rPr>
        <w:t>使用风险及案例；</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4.央国企参与片区综合开发合规若干问题及案例分享；</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5.片区综合开发前期土地开发如何开展如何筹资？</w:t>
      </w:r>
    </w:p>
    <w:p>
      <w:pPr>
        <w:spacing w:line="540" w:lineRule="exact"/>
        <w:ind w:firstLine="888" w:firstLineChars="300"/>
        <w:rPr>
          <w:rFonts w:hint="eastAsia" w:ascii="仿宋" w:hAnsi="仿宋" w:eastAsia="仿宋" w:cs="仿宋"/>
          <w:color w:val="000000" w:themeColor="text1"/>
          <w:spacing w:val="8"/>
          <w:sz w:val="28"/>
          <w:szCs w:val="28"/>
          <w14:textFill>
            <w14:solidFill>
              <w14:schemeClr w14:val="tx1"/>
            </w14:solidFill>
          </w14:textFill>
        </w:rPr>
      </w:pPr>
      <w:r>
        <w:rPr>
          <w:rFonts w:hint="eastAsia" w:ascii="仿宋" w:hAnsi="仿宋" w:eastAsia="仿宋" w:cs="仿宋"/>
          <w:color w:val="000000" w:themeColor="text1"/>
          <w:spacing w:val="8"/>
          <w:sz w:val="28"/>
          <w:szCs w:val="28"/>
          <w14:textFill>
            <w14:solidFill>
              <w14:schemeClr w14:val="tx1"/>
            </w14:solidFill>
          </w14:textFill>
        </w:rPr>
        <w:t>6.片区综合开发如何立项如何融资？</w:t>
      </w:r>
    </w:p>
    <w:p>
      <w:pPr>
        <w:spacing w:line="540" w:lineRule="exact"/>
        <w:ind w:firstLine="281" w:firstLineChars="100"/>
        <w:rPr>
          <w:rFonts w:hint="eastAsia" w:ascii="仿宋" w:hAnsi="仿宋" w:eastAsia="仿宋" w:cs="仿宋"/>
          <w:b/>
          <w:bCs/>
          <w:color w:val="000000" w:themeColor="text1"/>
          <w:sz w:val="28"/>
          <w:szCs w:val="28"/>
          <w14:textFill>
            <w14:solidFill>
              <w14:schemeClr w14:val="tx1"/>
            </w14:solidFill>
          </w14:textFill>
        </w:rPr>
      </w:pPr>
    </w:p>
    <w:p>
      <w:pPr>
        <w:spacing w:line="540" w:lineRule="exact"/>
        <w:ind w:firstLine="281" w:firstLineChars="1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三、培训对象</w:t>
      </w:r>
    </w:p>
    <w:p>
      <w:pPr>
        <w:spacing w:line="54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各级</w:t>
      </w:r>
      <w:r>
        <w:rPr>
          <w:rFonts w:hint="eastAsia" w:ascii="仿宋" w:hAnsi="仿宋" w:eastAsia="仿宋" w:cs="仿宋"/>
          <w:bCs/>
          <w:color w:val="000000" w:themeColor="text1"/>
          <w:sz w:val="28"/>
          <w:szCs w:val="28"/>
          <w14:textFill>
            <w14:solidFill>
              <w14:schemeClr w14:val="tx1"/>
            </w14:solidFill>
          </w14:textFill>
        </w:rPr>
        <w:t>政府发改</w:t>
      </w:r>
      <w:r>
        <w:rPr>
          <w:rFonts w:ascii="仿宋" w:hAnsi="仿宋" w:eastAsia="仿宋" w:cs="仿宋"/>
          <w:bCs/>
          <w:color w:val="000000" w:themeColor="text1"/>
          <w:sz w:val="28"/>
          <w:szCs w:val="28"/>
          <w14:textFill>
            <w14:solidFill>
              <w14:schemeClr w14:val="tx1"/>
            </w14:solidFill>
          </w14:textFill>
        </w:rPr>
        <w:t>、财政、环保、住建、交通</w:t>
      </w:r>
      <w:r>
        <w:rPr>
          <w:rFonts w:hint="eastAsia" w:ascii="仿宋" w:hAnsi="仿宋" w:eastAsia="仿宋" w:cs="仿宋"/>
          <w:bCs/>
          <w:color w:val="000000" w:themeColor="text1"/>
          <w:sz w:val="28"/>
          <w:szCs w:val="28"/>
          <w:lang w:val="en-US" w:eastAsia="zh-CN"/>
          <w14:textFill>
            <w14:solidFill>
              <w14:schemeClr w14:val="tx1"/>
            </w14:solidFill>
          </w14:textFill>
        </w:rPr>
        <w:t>运输</w:t>
      </w:r>
      <w:r>
        <w:rPr>
          <w:rFonts w:ascii="仿宋" w:hAnsi="仿宋" w:eastAsia="仿宋" w:cs="仿宋"/>
          <w:bCs/>
          <w:color w:val="000000" w:themeColor="text1"/>
          <w:sz w:val="28"/>
          <w:szCs w:val="28"/>
          <w14:textFill>
            <w14:solidFill>
              <w14:schemeClr w14:val="tx1"/>
            </w14:solidFill>
          </w14:textFill>
        </w:rPr>
        <w:t>、水利、农业</w:t>
      </w:r>
      <w:r>
        <w:rPr>
          <w:rFonts w:hint="eastAsia" w:ascii="仿宋" w:hAnsi="仿宋" w:eastAsia="仿宋" w:cs="仿宋"/>
          <w:bCs/>
          <w:color w:val="000000" w:themeColor="text1"/>
          <w:sz w:val="28"/>
          <w:szCs w:val="28"/>
          <w14:textFill>
            <w14:solidFill>
              <w14:schemeClr w14:val="tx1"/>
            </w14:solidFill>
          </w14:textFill>
        </w:rPr>
        <w:t>农村</w:t>
      </w:r>
      <w:r>
        <w:rPr>
          <w:rFonts w:ascii="仿宋" w:hAnsi="仿宋" w:eastAsia="仿宋" w:cs="仿宋"/>
          <w:bCs/>
          <w:color w:val="000000" w:themeColor="text1"/>
          <w:sz w:val="28"/>
          <w:szCs w:val="28"/>
          <w14:textFill>
            <w14:solidFill>
              <w14:schemeClr w14:val="tx1"/>
            </w14:solidFill>
          </w14:textFill>
        </w:rPr>
        <w:t>、林草、文旅等部门工作人员；城投公司</w:t>
      </w:r>
      <w:r>
        <w:rPr>
          <w:rFonts w:hint="eastAsia" w:ascii="仿宋" w:hAnsi="仿宋" w:eastAsia="仿宋" w:cs="仿宋"/>
          <w:bCs/>
          <w:color w:val="000000" w:themeColor="text1"/>
          <w:sz w:val="28"/>
          <w:szCs w:val="28"/>
          <w14:textFill>
            <w14:solidFill>
              <w14:schemeClr w14:val="tx1"/>
            </w14:solidFill>
          </w14:textFill>
        </w:rPr>
        <w:t>为代表的各</w:t>
      </w:r>
      <w:r>
        <w:rPr>
          <w:rFonts w:ascii="仿宋" w:hAnsi="仿宋" w:eastAsia="仿宋" w:cs="仿宋"/>
          <w:bCs/>
          <w:color w:val="000000" w:themeColor="text1"/>
          <w:sz w:val="28"/>
          <w:szCs w:val="28"/>
          <w14:textFill>
            <w14:solidFill>
              <w14:schemeClr w14:val="tx1"/>
            </w14:solidFill>
          </w14:textFill>
        </w:rPr>
        <w:t>类</w:t>
      </w:r>
      <w:r>
        <w:rPr>
          <w:rFonts w:hint="eastAsia" w:ascii="仿宋" w:hAnsi="仿宋" w:eastAsia="仿宋" w:cs="仿宋"/>
          <w:bCs/>
          <w:color w:val="000000" w:themeColor="text1"/>
          <w:sz w:val="28"/>
          <w:szCs w:val="28"/>
          <w:lang w:val="en-US" w:eastAsia="zh-CN"/>
          <w14:textFill>
            <w14:solidFill>
              <w14:schemeClr w14:val="tx1"/>
            </w14:solidFill>
          </w14:textFill>
        </w:rPr>
        <w:t>融资</w:t>
      </w:r>
      <w:r>
        <w:rPr>
          <w:rFonts w:ascii="仿宋" w:hAnsi="仿宋" w:eastAsia="仿宋" w:cs="仿宋"/>
          <w:bCs/>
          <w:color w:val="000000" w:themeColor="text1"/>
          <w:sz w:val="28"/>
          <w:szCs w:val="28"/>
          <w14:textFill>
            <w14:solidFill>
              <w14:schemeClr w14:val="tx1"/>
            </w14:solidFill>
          </w14:textFill>
        </w:rPr>
        <w:t>平台公司</w:t>
      </w:r>
      <w:r>
        <w:rPr>
          <w:rFonts w:hint="eastAsia" w:ascii="仿宋" w:hAnsi="仿宋" w:eastAsia="仿宋" w:cs="仿宋"/>
          <w:bCs/>
          <w:color w:val="000000" w:themeColor="text1"/>
          <w:sz w:val="28"/>
          <w:szCs w:val="28"/>
          <w:lang w:val="en-US" w:eastAsia="zh-CN"/>
          <w14:textFill>
            <w14:solidFill>
              <w14:schemeClr w14:val="tx1"/>
            </w14:solidFill>
          </w14:textFill>
        </w:rPr>
        <w:t>相关人员</w:t>
      </w:r>
      <w:r>
        <w:rPr>
          <w:rFonts w:hint="eastAsia" w:ascii="仿宋" w:hAnsi="仿宋" w:eastAsia="仿宋" w:cs="仿宋"/>
          <w:bCs/>
          <w:color w:val="000000" w:themeColor="text1"/>
          <w:sz w:val="28"/>
          <w:szCs w:val="28"/>
          <w14:textFill>
            <w14:solidFill>
              <w14:schemeClr w14:val="tx1"/>
            </w14:solidFill>
          </w14:textFill>
        </w:rPr>
        <w:t>；</w:t>
      </w:r>
      <w:r>
        <w:rPr>
          <w:rFonts w:ascii="仿宋" w:hAnsi="仿宋" w:eastAsia="仿宋" w:cs="仿宋"/>
          <w:bCs/>
          <w:color w:val="000000" w:themeColor="text1"/>
          <w:sz w:val="28"/>
          <w:szCs w:val="28"/>
          <w14:textFill>
            <w14:solidFill>
              <w14:schemeClr w14:val="tx1"/>
            </w14:solidFill>
          </w14:textFill>
        </w:rPr>
        <w:t>污水垃圾处理、</w:t>
      </w:r>
      <w:r>
        <w:rPr>
          <w:rFonts w:hint="eastAsia" w:ascii="仿宋" w:hAnsi="仿宋" w:eastAsia="仿宋" w:cs="仿宋"/>
          <w:bCs/>
          <w:color w:val="000000" w:themeColor="text1"/>
          <w:sz w:val="28"/>
          <w:szCs w:val="28"/>
          <w:lang w:val="en-US" w:eastAsia="zh-CN"/>
          <w14:textFill>
            <w14:solidFill>
              <w14:schemeClr w14:val="tx1"/>
            </w14:solidFill>
          </w14:textFill>
        </w:rPr>
        <w:t>城乡</w:t>
      </w:r>
      <w:r>
        <w:rPr>
          <w:rFonts w:ascii="仿宋" w:hAnsi="仿宋" w:eastAsia="仿宋" w:cs="仿宋"/>
          <w:bCs/>
          <w:color w:val="000000" w:themeColor="text1"/>
          <w:sz w:val="28"/>
          <w:szCs w:val="28"/>
          <w14:textFill>
            <w14:solidFill>
              <w14:schemeClr w14:val="tx1"/>
            </w14:solidFill>
          </w14:textFill>
        </w:rPr>
        <w:t>供水供气供热、仓储物流、新能源、环保及建筑施工等企业</w:t>
      </w:r>
      <w:r>
        <w:rPr>
          <w:rFonts w:hint="eastAsia" w:ascii="仿宋" w:hAnsi="仿宋" w:eastAsia="仿宋" w:cs="仿宋"/>
          <w:bCs/>
          <w:color w:val="000000" w:themeColor="text1"/>
          <w:sz w:val="28"/>
          <w:szCs w:val="28"/>
          <w:lang w:val="en-US" w:eastAsia="zh-CN"/>
          <w14:textFill>
            <w14:solidFill>
              <w14:schemeClr w14:val="tx1"/>
            </w14:solidFill>
          </w14:textFill>
        </w:rPr>
        <w:t>有关</w:t>
      </w:r>
      <w:r>
        <w:rPr>
          <w:rFonts w:ascii="仿宋" w:hAnsi="仿宋" w:eastAsia="仿宋" w:cs="仿宋"/>
          <w:bCs/>
          <w:color w:val="000000" w:themeColor="text1"/>
          <w:sz w:val="28"/>
          <w:szCs w:val="28"/>
          <w14:textFill>
            <w14:solidFill>
              <w14:schemeClr w14:val="tx1"/>
            </w14:solidFill>
          </w14:textFill>
        </w:rPr>
        <w:t>人员；银行、证券、基金、信托、保险等金融机构专业人员。</w:t>
      </w:r>
    </w:p>
    <w:p>
      <w:pPr>
        <w:spacing w:line="540" w:lineRule="exact"/>
        <w:ind w:firstLine="281" w:firstLineChars="100"/>
        <w:rPr>
          <w:rFonts w:ascii="仿宋" w:hAnsi="仿宋" w:eastAsia="仿宋" w:cs="仿宋"/>
          <w:b/>
          <w:bCs/>
          <w:color w:val="000000" w:themeColor="text1"/>
          <w:sz w:val="28"/>
          <w:szCs w:val="28"/>
          <w14:textFill>
            <w14:solidFill>
              <w14:schemeClr w14:val="tx1"/>
            </w14:solidFill>
          </w14:textFill>
        </w:rPr>
      </w:pPr>
    </w:p>
    <w:p>
      <w:pPr>
        <w:spacing w:line="540" w:lineRule="exact"/>
        <w:ind w:firstLine="281" w:firstLineChars="100"/>
        <w:rPr>
          <w:rFonts w:ascii="仿宋" w:hAnsi="仿宋" w:eastAsia="仿宋" w:cs="仿宋"/>
          <w:b/>
          <w:bCs/>
          <w:color w:val="000000" w:themeColor="text1"/>
          <w:sz w:val="28"/>
          <w:szCs w:val="28"/>
          <w14:textFill>
            <w14:solidFill>
              <w14:schemeClr w14:val="tx1"/>
            </w14:solidFill>
          </w14:textFill>
        </w:rPr>
      </w:pPr>
    </w:p>
    <w:p>
      <w:pPr>
        <w:spacing w:line="540" w:lineRule="exact"/>
        <w:ind w:firstLine="281" w:firstLineChars="1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拟邀师资</w:t>
      </w:r>
    </w:p>
    <w:p>
      <w:pPr>
        <w:spacing w:line="54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张朝元：</w:t>
      </w:r>
      <w:r>
        <w:rPr>
          <w:rFonts w:hint="eastAsia" w:ascii="仿宋" w:hAnsi="仿宋" w:eastAsia="仿宋" w:cs="仿宋"/>
          <w:bCs/>
          <w:color w:val="000000" w:themeColor="text1"/>
          <w:sz w:val="28"/>
          <w:szCs w:val="28"/>
          <w14:textFill>
            <w14:solidFill>
              <w14:schemeClr w14:val="tx1"/>
            </w14:solidFill>
          </w14:textFill>
        </w:rPr>
        <w:t>中国经济体制改革研究会副秘书长、培训中心主任，北京大学、清华大学投融资系列总裁研修班客座教授。</w:t>
      </w:r>
    </w:p>
    <w:p>
      <w:pPr>
        <w:spacing w:line="54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林晓东：</w:t>
      </w:r>
      <w:r>
        <w:rPr>
          <w:rFonts w:hint="eastAsia" w:ascii="仿宋" w:hAnsi="仿宋" w:eastAsia="仿宋" w:cs="仿宋"/>
          <w:bCs/>
          <w:color w:val="000000" w:themeColor="text1"/>
          <w:sz w:val="28"/>
          <w:szCs w:val="28"/>
          <w14:textFill>
            <w14:solidFill>
              <w14:schemeClr w14:val="tx1"/>
            </w14:solidFill>
          </w14:textFill>
        </w:rPr>
        <w:t>中国经济体制改革研究会理事、特聘授课专家，中国投资协会项目投融资专委会特聘专家、大成律师事务所合伙人。</w:t>
      </w:r>
    </w:p>
    <w:p>
      <w:pPr>
        <w:widowControl/>
        <w:spacing w:line="540" w:lineRule="exact"/>
        <w:ind w:firstLine="562"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王小文：</w:t>
      </w:r>
      <w:r>
        <w:rPr>
          <w:rFonts w:hint="eastAsia" w:ascii="仿宋" w:hAnsi="仿宋" w:eastAsia="仿宋" w:cs="仿宋"/>
          <w:bCs/>
          <w:color w:val="000000" w:themeColor="text1"/>
          <w:kern w:val="2"/>
          <w:sz w:val="28"/>
          <w:szCs w:val="28"/>
          <w:lang w:val="en-US" w:eastAsia="zh-CN" w:bidi="ar-SA"/>
          <w14:textFill>
            <w14:solidFill>
              <w14:schemeClr w14:val="tx1"/>
            </w14:solidFill>
          </w14:textFill>
        </w:rPr>
        <w:t>财政部PPP示范项目评审专家、</w:t>
      </w:r>
      <w:r>
        <w:rPr>
          <w:rFonts w:hint="eastAsia" w:ascii="仿宋" w:hAnsi="仿宋" w:eastAsia="仿宋" w:cs="仿宋"/>
          <w:bCs/>
          <w:color w:val="000000" w:themeColor="text1"/>
          <w:sz w:val="28"/>
          <w:szCs w:val="28"/>
          <w14:textFill>
            <w14:solidFill>
              <w14:schemeClr w14:val="tx1"/>
            </w14:solidFill>
          </w14:textFill>
        </w:rPr>
        <w:t>住建部海绵城市试点考核专家，中国投资咨询有限责任公司战略与管理咨询事业部副总经理（主持工作）、研究中心主任。</w:t>
      </w:r>
    </w:p>
    <w:p>
      <w:pPr>
        <w:pStyle w:val="10"/>
        <w:spacing w:line="540" w:lineRule="exact"/>
        <w:ind w:left="0" w:firstLine="562"/>
        <w:rPr>
          <w:rFonts w:hint="default" w:hAnsi="仿宋" w:cs="仿宋"/>
          <w:bCs/>
          <w:color w:val="000000" w:themeColor="text1"/>
          <w:sz w:val="28"/>
          <w:szCs w:val="28"/>
          <w14:textFill>
            <w14:solidFill>
              <w14:schemeClr w14:val="tx1"/>
            </w14:solidFill>
          </w14:textFill>
        </w:rPr>
      </w:pPr>
      <w:r>
        <w:rPr>
          <w:rFonts w:hAnsi="仿宋" w:cs="仿宋"/>
          <w:b/>
          <w:color w:val="000000" w:themeColor="text1"/>
          <w:sz w:val="28"/>
          <w:szCs w:val="28"/>
          <w14:textFill>
            <w14:solidFill>
              <w14:schemeClr w14:val="tx1"/>
            </w14:solidFill>
          </w14:textFill>
        </w:rPr>
        <w:t>温来成：</w:t>
      </w:r>
      <w:r>
        <w:fldChar w:fldCharType="begin"/>
      </w:r>
      <w:r>
        <w:instrText xml:space="preserve"> HYPERLINK "https://baike.so.com/doc/3296910-3472858.html" \t "https://baike.so.com/doc/_blank" </w:instrText>
      </w:r>
      <w:r>
        <w:fldChar w:fldCharType="separate"/>
      </w:r>
      <w:r>
        <w:rPr>
          <w:rFonts w:hint="default" w:hAnsi="仿宋" w:cs="仿宋"/>
          <w:bCs/>
          <w:color w:val="000000" w:themeColor="text1"/>
          <w:sz w:val="28"/>
          <w:szCs w:val="28"/>
          <w14:textFill>
            <w14:solidFill>
              <w14:schemeClr w14:val="tx1"/>
            </w14:solidFill>
          </w14:textFill>
        </w:rPr>
        <w:t>中国人民大学</w:t>
      </w:r>
      <w:r>
        <w:rPr>
          <w:rFonts w:hint="default" w:hAnsi="仿宋" w:cs="仿宋"/>
          <w:bCs/>
          <w:color w:val="000000" w:themeColor="text1"/>
          <w:sz w:val="28"/>
          <w:szCs w:val="28"/>
          <w14:textFill>
            <w14:solidFill>
              <w14:schemeClr w14:val="tx1"/>
            </w14:solidFill>
          </w14:textFill>
        </w:rPr>
        <w:fldChar w:fldCharType="end"/>
      </w:r>
      <w:r>
        <w:rPr>
          <w:rFonts w:hint="default" w:hAnsi="仿宋" w:cs="仿宋"/>
          <w:bCs/>
          <w:color w:val="000000" w:themeColor="text1"/>
          <w:sz w:val="28"/>
          <w:szCs w:val="28"/>
          <w14:textFill>
            <w14:solidFill>
              <w14:schemeClr w14:val="tx1"/>
            </w14:solidFill>
          </w14:textFill>
        </w:rPr>
        <w:t>经济学博士，</w:t>
      </w:r>
      <w:r>
        <w:fldChar w:fldCharType="begin"/>
      </w:r>
      <w:r>
        <w:instrText xml:space="preserve"> HYPERLINK "https://baike.so.com/doc/871579-921482.html" \t "https://baike.so.com/doc/_blank" </w:instrText>
      </w:r>
      <w:r>
        <w:fldChar w:fldCharType="separate"/>
      </w:r>
      <w:r>
        <w:rPr>
          <w:rFonts w:hint="default" w:hAnsi="仿宋" w:cs="仿宋"/>
          <w:bCs/>
          <w:color w:val="000000" w:themeColor="text1"/>
          <w:sz w:val="28"/>
          <w:szCs w:val="28"/>
          <w14:textFill>
            <w14:solidFill>
              <w14:schemeClr w14:val="tx1"/>
            </w14:solidFill>
          </w14:textFill>
        </w:rPr>
        <w:t>中央财经大学</w:t>
      </w:r>
      <w:r>
        <w:rPr>
          <w:rFonts w:hint="default" w:hAnsi="仿宋" w:cs="仿宋"/>
          <w:bCs/>
          <w:color w:val="000000" w:themeColor="text1"/>
          <w:sz w:val="28"/>
          <w:szCs w:val="28"/>
          <w14:textFill>
            <w14:solidFill>
              <w14:schemeClr w14:val="tx1"/>
            </w14:solidFill>
          </w14:textFill>
        </w:rPr>
        <w:fldChar w:fldCharType="end"/>
      </w:r>
      <w:r>
        <w:rPr>
          <w:rFonts w:hint="default" w:hAnsi="仿宋" w:cs="仿宋"/>
          <w:bCs/>
          <w:color w:val="000000" w:themeColor="text1"/>
          <w:sz w:val="28"/>
          <w:szCs w:val="28"/>
          <w14:textFill>
            <w14:solidFill>
              <w14:schemeClr w14:val="tx1"/>
            </w14:solidFill>
          </w14:textFill>
        </w:rPr>
        <w:t>教授，博士生导师，</w:t>
      </w:r>
      <w:r>
        <w:fldChar w:fldCharType="begin"/>
      </w:r>
      <w:r>
        <w:instrText xml:space="preserve"> HYPERLINK "https://baike.so.com/doc/5383824-5620225.html" \t "https://baike.so.com/doc/_blank" </w:instrText>
      </w:r>
      <w:r>
        <w:fldChar w:fldCharType="separate"/>
      </w:r>
      <w:r>
        <w:rPr>
          <w:rFonts w:hint="default" w:hAnsi="仿宋" w:cs="仿宋"/>
          <w:bCs/>
          <w:color w:val="000000" w:themeColor="text1"/>
          <w:sz w:val="28"/>
          <w:szCs w:val="28"/>
          <w14:textFill>
            <w14:solidFill>
              <w14:schemeClr w14:val="tx1"/>
            </w14:solidFill>
          </w14:textFill>
        </w:rPr>
        <w:t>国家社会科学基金</w:t>
      </w:r>
      <w:r>
        <w:rPr>
          <w:rFonts w:hint="default" w:hAnsi="仿宋" w:cs="仿宋"/>
          <w:bCs/>
          <w:color w:val="000000" w:themeColor="text1"/>
          <w:sz w:val="28"/>
          <w:szCs w:val="28"/>
          <w14:textFill>
            <w14:solidFill>
              <w14:schemeClr w14:val="tx1"/>
            </w14:solidFill>
          </w14:textFill>
        </w:rPr>
        <w:fldChar w:fldCharType="end"/>
      </w:r>
      <w:r>
        <w:rPr>
          <w:rFonts w:hint="default" w:hAnsi="仿宋" w:cs="仿宋"/>
          <w:bCs/>
          <w:color w:val="000000" w:themeColor="text1"/>
          <w:sz w:val="28"/>
          <w:szCs w:val="28"/>
          <w14:textFill>
            <w14:solidFill>
              <w14:schemeClr w14:val="tx1"/>
            </w14:solidFill>
          </w14:textFill>
        </w:rPr>
        <w:t>评审专家，</w:t>
      </w:r>
      <w:r>
        <w:fldChar w:fldCharType="begin"/>
      </w:r>
      <w:r>
        <w:instrText xml:space="preserve"> HYPERLINK "https://baike.so.com/doc/5568745-5783922.html" \t "https://baike.so.com/doc/_blank" </w:instrText>
      </w:r>
      <w:r>
        <w:fldChar w:fldCharType="separate"/>
      </w:r>
      <w:r>
        <w:rPr>
          <w:rFonts w:hint="default" w:hAnsi="仿宋" w:cs="仿宋"/>
          <w:bCs/>
          <w:color w:val="000000" w:themeColor="text1"/>
          <w:sz w:val="28"/>
          <w:szCs w:val="28"/>
          <w14:textFill>
            <w14:solidFill>
              <w14:schemeClr w14:val="tx1"/>
            </w14:solidFill>
          </w14:textFill>
        </w:rPr>
        <w:t>国家自然科学基金</w:t>
      </w:r>
      <w:r>
        <w:rPr>
          <w:rFonts w:hint="default" w:hAnsi="仿宋" w:cs="仿宋"/>
          <w:bCs/>
          <w:color w:val="000000" w:themeColor="text1"/>
          <w:sz w:val="28"/>
          <w:szCs w:val="28"/>
          <w14:textFill>
            <w14:solidFill>
              <w14:schemeClr w14:val="tx1"/>
            </w14:solidFill>
          </w14:textFill>
        </w:rPr>
        <w:fldChar w:fldCharType="end"/>
      </w:r>
      <w:r>
        <w:rPr>
          <w:rFonts w:hint="default" w:hAnsi="仿宋" w:cs="仿宋"/>
          <w:bCs/>
          <w:color w:val="000000" w:themeColor="text1"/>
          <w:sz w:val="28"/>
          <w:szCs w:val="28"/>
          <w14:textFill>
            <w14:solidFill>
              <w14:schemeClr w14:val="tx1"/>
            </w14:solidFill>
          </w14:textFill>
        </w:rPr>
        <w:t>评审专家</w:t>
      </w:r>
      <w:r>
        <w:rPr>
          <w:rFonts w:hAnsi="仿宋" w:cs="仿宋"/>
          <w:bCs/>
          <w:color w:val="000000" w:themeColor="text1"/>
          <w:sz w:val="28"/>
          <w:szCs w:val="28"/>
          <w14:textFill>
            <w14:solidFill>
              <w14:schemeClr w14:val="tx1"/>
            </w14:solidFill>
          </w14:textFill>
        </w:rPr>
        <w:t>。</w:t>
      </w:r>
    </w:p>
    <w:p>
      <w:pPr>
        <w:spacing w:line="540" w:lineRule="exact"/>
        <w:ind w:firstLine="562"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张  鹏：</w:t>
      </w:r>
      <w:r>
        <w:rPr>
          <w:rFonts w:ascii="仿宋" w:hAnsi="仿宋" w:eastAsia="仿宋" w:cs="仿宋"/>
          <w:bCs/>
          <w:color w:val="000000" w:themeColor="text1"/>
          <w:sz w:val="28"/>
          <w:szCs w:val="28"/>
          <w14:textFill>
            <w14:solidFill>
              <w14:schemeClr w14:val="tx1"/>
            </w14:solidFill>
          </w14:textFill>
        </w:rPr>
        <w:t>财政部政策实验室宏观经济部主任、经济学博士</w:t>
      </w:r>
      <w:r>
        <w:rPr>
          <w:rFonts w:hint="eastAsia" w:ascii="仿宋" w:hAnsi="仿宋" w:eastAsia="仿宋" w:cs="仿宋"/>
          <w:bCs/>
          <w:color w:val="000000" w:themeColor="text1"/>
          <w:sz w:val="28"/>
          <w:szCs w:val="28"/>
          <w14:textFill>
            <w14:solidFill>
              <w14:schemeClr w14:val="tx1"/>
            </w14:solidFill>
          </w14:textFill>
        </w:rPr>
        <w:t>、</w:t>
      </w:r>
      <w:r>
        <w:rPr>
          <w:rFonts w:ascii="仿宋" w:hAnsi="仿宋" w:eastAsia="仿宋" w:cs="仿宋"/>
          <w:bCs/>
          <w:color w:val="000000" w:themeColor="text1"/>
          <w:sz w:val="28"/>
          <w:szCs w:val="28"/>
          <w14:textFill>
            <w14:solidFill>
              <w14:schemeClr w14:val="tx1"/>
            </w14:solidFill>
          </w14:textFill>
        </w:rPr>
        <w:t>中共中央党校干部学习网特约专家</w:t>
      </w:r>
      <w:r>
        <w:rPr>
          <w:rFonts w:hint="eastAsia" w:ascii="仿宋" w:hAnsi="仿宋" w:eastAsia="仿宋" w:cs="仿宋"/>
          <w:bCs/>
          <w:color w:val="000000" w:themeColor="text1"/>
          <w:sz w:val="28"/>
          <w:szCs w:val="28"/>
          <w14:textFill>
            <w14:solidFill>
              <w14:schemeClr w14:val="tx1"/>
            </w14:solidFill>
          </w14:textFill>
        </w:rPr>
        <w:t>。</w:t>
      </w:r>
    </w:p>
    <w:p>
      <w:pPr>
        <w:spacing w:line="540" w:lineRule="exact"/>
        <w:ind w:firstLine="562" w:firstLineChars="200"/>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朱  静：</w:t>
      </w:r>
      <w:r>
        <w:rPr>
          <w:rFonts w:hint="eastAsia" w:ascii="仿宋" w:hAnsi="仿宋" w:eastAsia="仿宋" w:cs="仿宋"/>
          <w:bCs/>
          <w:color w:val="000000" w:themeColor="text1"/>
          <w:sz w:val="28"/>
          <w:szCs w:val="28"/>
          <w14:textFill>
            <w14:solidFill>
              <w14:schemeClr w14:val="tx1"/>
            </w14:solidFill>
          </w14:textFill>
        </w:rPr>
        <w:t>财政部PPP专家，中央财经大学PPP智库专家，中国政信（政务）研究中心专家，中能国和产业投资发展集团合伙人首席专家</w:t>
      </w:r>
      <w:r>
        <w:rPr>
          <w:rFonts w:hint="eastAsia" w:ascii="仿宋" w:hAnsi="仿宋" w:eastAsia="仿宋" w:cs="仿宋"/>
          <w:bCs/>
          <w:color w:val="000000" w:themeColor="text1"/>
          <w:sz w:val="28"/>
          <w:szCs w:val="28"/>
          <w:lang w:eastAsia="zh-CN"/>
          <w14:textFill>
            <w14:solidFill>
              <w14:schemeClr w14:val="tx1"/>
            </w14:solidFill>
          </w14:textFill>
        </w:rPr>
        <w:t>。</w:t>
      </w:r>
    </w:p>
    <w:p>
      <w:pPr>
        <w:spacing w:line="540" w:lineRule="exact"/>
        <w:ind w:firstLine="281" w:firstLineChars="100"/>
        <w:rPr>
          <w:rFonts w:hint="eastAsia" w:ascii="仿宋" w:hAnsi="仿宋" w:eastAsia="仿宋" w:cs="仿宋"/>
          <w:b/>
          <w:bCs/>
          <w:color w:val="000000" w:themeColor="text1"/>
          <w:sz w:val="28"/>
          <w:szCs w:val="28"/>
          <w:lang w:val="en-US" w:eastAsia="zh-CN"/>
          <w14:textFill>
            <w14:solidFill>
              <w14:schemeClr w14:val="tx1"/>
            </w14:solidFill>
          </w14:textFill>
        </w:rPr>
      </w:pPr>
    </w:p>
    <w:p>
      <w:pPr>
        <w:spacing w:line="540" w:lineRule="exact"/>
        <w:ind w:firstLine="281" w:firstLineChars="1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14:textFill>
            <w14:solidFill>
              <w14:schemeClr w14:val="tx1"/>
            </w14:solidFill>
          </w14:textFill>
        </w:rPr>
        <w:t>、</w:t>
      </w:r>
      <w:r>
        <w:rPr>
          <w:rFonts w:ascii="仿宋" w:hAnsi="仿宋" w:eastAsia="仿宋" w:cs="仿宋"/>
          <w:b/>
          <w:bCs/>
          <w:color w:val="000000" w:themeColor="text1"/>
          <w:sz w:val="28"/>
          <w:szCs w:val="28"/>
          <w14:textFill>
            <w14:solidFill>
              <w14:schemeClr w14:val="tx1"/>
            </w14:solidFill>
          </w14:textFill>
        </w:rPr>
        <w:t>培训时间与地点</w:t>
      </w:r>
    </w:p>
    <w:p>
      <w:pPr>
        <w:spacing w:line="540" w:lineRule="exact"/>
        <w:jc w:val="center"/>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2024年4月12日—4月15日   长沙市</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14:textFill>
            <w14:solidFill>
              <w14:schemeClr w14:val="tx1"/>
            </w14:solidFill>
          </w14:textFill>
        </w:rPr>
        <w:t>（12日全天报到）</w:t>
      </w:r>
    </w:p>
    <w:p>
      <w:pPr>
        <w:spacing w:line="540" w:lineRule="exact"/>
        <w:jc w:val="center"/>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 xml:space="preserve">2024年4月19日—4月22日   </w:t>
      </w:r>
      <w:r>
        <w:rPr>
          <w:rFonts w:hint="eastAsia" w:ascii="仿宋" w:hAnsi="仿宋" w:eastAsia="仿宋" w:cs="仿宋"/>
          <w:b w:val="0"/>
          <w:bCs w:val="0"/>
          <w:color w:val="000000" w:themeColor="text1"/>
          <w:sz w:val="28"/>
          <w:szCs w:val="28"/>
          <w:lang w:val="en-US" w:eastAsia="zh-CN"/>
          <w14:textFill>
            <w14:solidFill>
              <w14:schemeClr w14:val="tx1"/>
            </w14:solidFill>
          </w14:textFill>
        </w:rPr>
        <w:t>杭州</w:t>
      </w:r>
      <w:r>
        <w:rPr>
          <w:rFonts w:hint="eastAsia" w:ascii="仿宋" w:hAnsi="仿宋" w:eastAsia="仿宋" w:cs="仿宋"/>
          <w:b w:val="0"/>
          <w:bCs w:val="0"/>
          <w:color w:val="000000" w:themeColor="text1"/>
          <w:sz w:val="28"/>
          <w:szCs w:val="28"/>
          <w14:textFill>
            <w14:solidFill>
              <w14:schemeClr w14:val="tx1"/>
            </w14:solidFill>
          </w14:textFill>
        </w:rPr>
        <w:t>市</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14:textFill>
            <w14:solidFill>
              <w14:schemeClr w14:val="tx1"/>
            </w14:solidFill>
          </w14:textFill>
        </w:rPr>
        <w:t>（1</w:t>
      </w:r>
      <w:r>
        <w:rPr>
          <w:rFonts w:hint="eastAsia" w:ascii="仿宋" w:hAnsi="仿宋" w:eastAsia="仿宋" w:cs="仿宋"/>
          <w:b w:val="0"/>
          <w:bCs w:val="0"/>
          <w:color w:val="000000" w:themeColor="text1"/>
          <w:sz w:val="28"/>
          <w:szCs w:val="28"/>
          <w:lang w:val="en-US" w:eastAsia="zh-CN"/>
          <w14:textFill>
            <w14:solidFill>
              <w14:schemeClr w14:val="tx1"/>
            </w14:solidFill>
          </w14:textFill>
        </w:rPr>
        <w:t>9</w:t>
      </w:r>
      <w:r>
        <w:rPr>
          <w:rFonts w:hint="eastAsia" w:ascii="仿宋" w:hAnsi="仿宋" w:eastAsia="仿宋" w:cs="仿宋"/>
          <w:b w:val="0"/>
          <w:bCs w:val="0"/>
          <w:color w:val="000000" w:themeColor="text1"/>
          <w:sz w:val="28"/>
          <w:szCs w:val="28"/>
          <w14:textFill>
            <w14:solidFill>
              <w14:schemeClr w14:val="tx1"/>
            </w14:solidFill>
          </w14:textFill>
        </w:rPr>
        <w:t>日全天报到）</w:t>
      </w:r>
    </w:p>
    <w:p>
      <w:pPr>
        <w:spacing w:line="540" w:lineRule="exact"/>
        <w:jc w:val="center"/>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 xml:space="preserve">2024年5月10日—5月13日  </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14:textFill>
            <w14:solidFill>
              <w14:schemeClr w14:val="tx1"/>
            </w14:solidFill>
          </w14:textFill>
        </w:rPr>
        <w:t>武汉市 （10日全天报到）</w:t>
      </w:r>
    </w:p>
    <w:p>
      <w:pPr>
        <w:spacing w:line="540" w:lineRule="exact"/>
        <w:jc w:val="center"/>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 xml:space="preserve">2024年5月24日—5月27日  </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14:textFill>
            <w14:solidFill>
              <w14:schemeClr w14:val="tx1"/>
            </w14:solidFill>
          </w14:textFill>
        </w:rPr>
        <w:t>郑州市 （24日全天报到）</w:t>
      </w:r>
    </w:p>
    <w:p>
      <w:pPr>
        <w:spacing w:line="540" w:lineRule="exact"/>
        <w:jc w:val="center"/>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2024年6月14日—6月17日   青岛市 （14日全天报到）</w:t>
      </w:r>
    </w:p>
    <w:p>
      <w:pPr>
        <w:spacing w:line="540" w:lineRule="exact"/>
        <w:jc w:val="center"/>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2024年6月27日—6月30日   南昌市 （27日全天报到）</w:t>
      </w:r>
    </w:p>
    <w:p>
      <w:pPr>
        <w:spacing w:line="540" w:lineRule="exact"/>
        <w:jc w:val="center"/>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2024年7月12日—7月15日   贵阳市 （12日全天报到）</w:t>
      </w:r>
    </w:p>
    <w:p>
      <w:pPr>
        <w:spacing w:line="540" w:lineRule="exact"/>
        <w:jc w:val="center"/>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2024年7月26日—7月29日   西安市 （26日全天报到）</w:t>
      </w:r>
    </w:p>
    <w:p>
      <w:pPr>
        <w:keepNext w:val="0"/>
        <w:keepLines w:val="0"/>
        <w:pageBreakBefore w:val="0"/>
        <w:widowControl w:val="0"/>
        <w:kinsoku/>
        <w:wordWrap/>
        <w:overflowPunct/>
        <w:topLinePunct w:val="0"/>
        <w:autoSpaceDE/>
        <w:autoSpaceDN/>
        <w:bidi w:val="0"/>
        <w:adjustRightInd/>
        <w:spacing w:line="540" w:lineRule="exact"/>
        <w:ind w:firstLine="281" w:firstLineChars="1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40" w:lineRule="exact"/>
        <w:ind w:firstLine="281" w:firstLineChars="100"/>
        <w:textAlignment w:val="auto"/>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六</w:t>
      </w:r>
      <w:r>
        <w:rPr>
          <w:rFonts w:ascii="仿宋" w:hAnsi="仿宋" w:eastAsia="仿宋" w:cs="仿宋"/>
          <w:b/>
          <w:color w:val="000000" w:themeColor="text1"/>
          <w:sz w:val="28"/>
          <w:szCs w:val="28"/>
          <w14:textFill>
            <w14:solidFill>
              <w14:schemeClr w14:val="tx1"/>
            </w14:solidFill>
          </w14:textFill>
        </w:rPr>
        <w:t>、收费标准</w:t>
      </w:r>
    </w:p>
    <w:p>
      <w:pPr>
        <w:keepNext w:val="0"/>
        <w:keepLines w:val="0"/>
        <w:pageBreakBefore w:val="0"/>
        <w:widowControl w:val="0"/>
        <w:kinsoku/>
        <w:wordWrap/>
        <w:overflowPunct/>
        <w:topLinePunct w:val="0"/>
        <w:bidi w:val="0"/>
        <w:spacing w:line="540" w:lineRule="exact"/>
        <w:ind w:firstLine="560" w:firstLineChars="200"/>
        <w:textAlignment w:val="auto"/>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A.3</w:t>
      </w:r>
      <w:r>
        <w:rPr>
          <w:rFonts w:hint="eastAsia" w:ascii="仿宋" w:hAnsi="仿宋" w:eastAsia="仿宋" w:cs="仿宋"/>
          <w:bCs/>
          <w:color w:val="000000" w:themeColor="text1"/>
          <w:sz w:val="28"/>
          <w:szCs w:val="28"/>
          <w:lang w:val="en-US" w:eastAsia="zh-CN"/>
          <w14:textFill>
            <w14:solidFill>
              <w14:schemeClr w14:val="tx1"/>
            </w14:solidFill>
          </w14:textFill>
        </w:rPr>
        <w:t>88</w:t>
      </w:r>
      <w:r>
        <w:rPr>
          <w:rFonts w:ascii="仿宋" w:hAnsi="仿宋" w:eastAsia="仿宋" w:cs="仿宋"/>
          <w:bCs/>
          <w:color w:val="000000" w:themeColor="text1"/>
          <w:sz w:val="28"/>
          <w:szCs w:val="28"/>
          <w14:textFill>
            <w14:solidFill>
              <w14:schemeClr w14:val="tx1"/>
            </w14:solidFill>
          </w14:textFill>
        </w:rPr>
        <w:t>0元/人（含培训、资料、电子课件、场地及培训期间午餐</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结业证书</w:t>
      </w:r>
      <w:r>
        <w:rPr>
          <w:rFonts w:ascii="仿宋" w:hAnsi="仿宋" w:eastAsia="仿宋" w:cs="仿宋"/>
          <w:bCs/>
          <w:color w:val="000000" w:themeColor="text1"/>
          <w:sz w:val="28"/>
          <w:szCs w:val="28"/>
          <w14:textFill>
            <w14:solidFill>
              <w14:schemeClr w14:val="tx1"/>
            </w14:solidFill>
          </w14:textFill>
        </w:rPr>
        <w:t>），住宿统一安排，费用自理。</w:t>
      </w:r>
    </w:p>
    <w:p>
      <w:pPr>
        <w:keepNext w:val="0"/>
        <w:keepLines w:val="0"/>
        <w:pageBreakBefore w:val="0"/>
        <w:widowControl w:val="0"/>
        <w:kinsoku/>
        <w:wordWrap/>
        <w:overflowPunct/>
        <w:topLinePunct w:val="0"/>
        <w:bidi w:val="0"/>
        <w:spacing w:line="540" w:lineRule="exact"/>
        <w:ind w:firstLine="560" w:firstLineChars="200"/>
        <w:textAlignment w:val="auto"/>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B.5</w:t>
      </w:r>
      <w:r>
        <w:rPr>
          <w:rFonts w:hint="eastAsia" w:ascii="仿宋" w:hAnsi="仿宋" w:eastAsia="仿宋" w:cs="仿宋"/>
          <w:bCs/>
          <w:color w:val="000000" w:themeColor="text1"/>
          <w:sz w:val="28"/>
          <w:szCs w:val="28"/>
          <w:lang w:val="en-US" w:eastAsia="zh-CN"/>
          <w14:textFill>
            <w14:solidFill>
              <w14:schemeClr w14:val="tx1"/>
            </w14:solidFill>
          </w14:textFill>
        </w:rPr>
        <w:t>88</w:t>
      </w:r>
      <w:r>
        <w:rPr>
          <w:rFonts w:ascii="仿宋" w:hAnsi="仿宋" w:eastAsia="仿宋" w:cs="仿宋"/>
          <w:bCs/>
          <w:color w:val="000000" w:themeColor="text1"/>
          <w:sz w:val="28"/>
          <w:szCs w:val="28"/>
          <w14:textFill>
            <w14:solidFill>
              <w14:schemeClr w14:val="tx1"/>
            </w14:solidFill>
          </w14:textFill>
        </w:rPr>
        <w:t>0元/人（含培训、资料、电子课件、场地、证书及培训期间午餐），住宿统一安排，费用自理。培训结束后，经考核合格，由中国投资协会颁发《投融资规划师》证书，需提供申报表、二寸白底免冠彩色照片、身份证复印件、学历证书复印件等电子版材料。</w:t>
      </w:r>
    </w:p>
    <w:p>
      <w:pPr>
        <w:keepNext w:val="0"/>
        <w:keepLines w:val="0"/>
        <w:pageBreakBefore w:val="0"/>
        <w:widowControl w:val="0"/>
        <w:kinsoku/>
        <w:wordWrap/>
        <w:overflowPunct/>
        <w:topLinePunct w:val="0"/>
        <w:bidi w:val="0"/>
        <w:snapToGrid w:val="0"/>
        <w:spacing w:line="620" w:lineRule="exact"/>
        <w:ind w:firstLine="560" w:firstLineChars="200"/>
        <w:jc w:val="both"/>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C.13880元/人</w:t>
      </w:r>
      <w:r>
        <w:rPr>
          <w:rFonts w:hint="eastAsia" w:ascii="仿宋" w:hAnsi="仿宋" w:eastAsia="仿宋" w:cs="仿宋"/>
          <w:spacing w:val="0"/>
          <w:sz w:val="28"/>
          <w:szCs w:val="28"/>
        </w:rPr>
        <w:t>(含培训、</w:t>
      </w:r>
      <w:r>
        <w:rPr>
          <w:rFonts w:hint="eastAsia" w:ascii="仿宋" w:hAnsi="仿宋" w:eastAsia="仿宋" w:cs="仿宋"/>
          <w:spacing w:val="0"/>
          <w:sz w:val="28"/>
          <w:szCs w:val="28"/>
          <w:lang w:val="en-US" w:eastAsia="zh-CN"/>
        </w:rPr>
        <w:t>中国投资协会的会员证书铜牌【副会长单位价格另议】、</w:t>
      </w:r>
      <w:r>
        <w:rPr>
          <w:rFonts w:hint="eastAsia" w:ascii="仿宋" w:hAnsi="仿宋" w:eastAsia="仿宋" w:cs="仿宋"/>
          <w:spacing w:val="0"/>
          <w:sz w:val="28"/>
          <w:szCs w:val="28"/>
        </w:rPr>
        <w:t>资料、电子课件、场地及培训期间午餐</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结业证书</w:t>
      </w:r>
      <w:r>
        <w:rPr>
          <w:rFonts w:hint="eastAsia" w:ascii="仿宋" w:hAnsi="仿宋" w:eastAsia="仿宋" w:cs="仿宋"/>
          <w:spacing w:val="0"/>
          <w:sz w:val="28"/>
          <w:szCs w:val="28"/>
        </w:rPr>
        <w:t>)</w:t>
      </w:r>
    </w:p>
    <w:p>
      <w:pPr>
        <w:numPr>
          <w:ilvl w:val="0"/>
          <w:numId w:val="1"/>
        </w:numPr>
        <w:spacing w:line="540" w:lineRule="exact"/>
        <w:jc w:val="left"/>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联系方式</w:t>
      </w:r>
    </w:p>
    <w:p>
      <w:pPr>
        <w:numPr>
          <w:numId w:val="0"/>
        </w:numPr>
        <w:spacing w:line="54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报名负责人：聂红军 主任18211071700（微信）   </w:t>
      </w:r>
    </w:p>
    <w:p>
      <w:pPr>
        <w:numPr>
          <w:numId w:val="0"/>
        </w:numPr>
        <w:spacing w:line="540" w:lineRule="exact"/>
        <w:ind w:firstLine="280" w:firstLineChars="100"/>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电  话：13141289128        邮    箱：zqgphwz@126.com  </w:t>
      </w:r>
    </w:p>
    <w:p>
      <w:pPr>
        <w:numPr>
          <w:numId w:val="0"/>
        </w:numPr>
        <w:spacing w:line="540" w:lineRule="exact"/>
        <w:ind w:firstLine="280" w:firstLineChars="100"/>
        <w:jc w:val="left"/>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qq咨询：3177524020          网    址：http://www.zqgpchina.cn</w:t>
      </w: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bookmarkStart w:id="0" w:name="_GoBack"/>
      <w:bookmarkEnd w:id="0"/>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eastAsia" w:ascii="仿宋" w:hAnsi="仿宋" w:eastAsia="仿宋" w:cs="仿宋"/>
          <w:b/>
          <w:bCs/>
          <w:color w:val="000000" w:themeColor="text1"/>
          <w:sz w:val="28"/>
          <w:szCs w:val="28"/>
          <w14:textFill>
            <w14:solidFill>
              <w14:schemeClr w14:val="tx1"/>
            </w14:solidFill>
          </w14:textFill>
        </w:rPr>
      </w:pPr>
    </w:p>
    <w:p>
      <w:pPr>
        <w:spacing w:line="540" w:lineRule="exact"/>
        <w:jc w:val="left"/>
        <w:rPr>
          <w:rFonts w:hint="default"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2</w:t>
      </w:r>
      <w:r>
        <w:rPr>
          <w:rFonts w:hint="eastAsia" w:ascii="仿宋" w:hAnsi="仿宋" w:eastAsia="仿宋" w:cs="仿宋"/>
          <w:b/>
          <w:bCs/>
          <w:color w:val="000000" w:themeColor="text1"/>
          <w:sz w:val="28"/>
          <w:szCs w:val="28"/>
          <w14:textFill>
            <w14:solidFill>
              <w14:schemeClr w14:val="tx1"/>
            </w14:solidFill>
          </w14:textFill>
        </w:rPr>
        <w:t>：</w:t>
      </w:r>
    </w:p>
    <w:p>
      <w:pPr>
        <w:autoSpaceDE/>
        <w:autoSpaceDN/>
        <w:adjustRightInd/>
        <w:snapToGrid w:val="0"/>
        <w:spacing w:line="440" w:lineRule="atLeast"/>
        <w:jc w:val="center"/>
        <w:rPr>
          <w:rFonts w:hint="default" w:ascii="仿宋" w:hAnsi="仿宋" w:eastAsia="黑体" w:cs="仿宋"/>
          <w:b/>
          <w:bCs/>
          <w:color w:val="000000" w:themeColor="text1"/>
          <w:sz w:val="30"/>
          <w:szCs w:val="30"/>
          <w:lang w:val="en-US" w:eastAsia="zh-CN"/>
          <w14:textFill>
            <w14:solidFill>
              <w14:schemeClr w14:val="tx1"/>
            </w14:solidFill>
          </w14:textFill>
        </w:rPr>
      </w:pPr>
      <w:r>
        <w:rPr>
          <w:rFonts w:hint="eastAsia" w:ascii="黑体" w:hAnsi="黑体" w:eastAsia="黑体" w:cs="黑体"/>
          <w:b/>
          <w:bCs/>
          <w:color w:val="000000" w:themeColor="text1"/>
          <w:sz w:val="32"/>
          <w:szCs w:val="32"/>
          <w:lang w:eastAsia="zh-CN"/>
          <w14:textFill>
            <w14:solidFill>
              <w14:schemeClr w14:val="tx1"/>
            </w14:solidFill>
          </w14:textFill>
        </w:rPr>
        <w:t>“</w:t>
      </w:r>
      <w:r>
        <w:rPr>
          <w:rFonts w:hint="eastAsia" w:ascii="黑体" w:hAnsi="黑体" w:eastAsia="黑体" w:cs="黑体"/>
          <w:b/>
          <w:bCs/>
          <w:color w:val="000000" w:themeColor="text1"/>
          <w:sz w:val="32"/>
          <w:szCs w:val="32"/>
          <w:lang w:val="en-US" w:eastAsia="zh-CN"/>
          <w14:textFill>
            <w14:solidFill>
              <w14:schemeClr w14:val="tx1"/>
            </w14:solidFill>
          </w14:textFill>
        </w:rPr>
        <w:t>新政背景下超长期特别国债与中央预算内资金申报国办</w:t>
      </w:r>
      <w:r>
        <w:rPr>
          <w:rFonts w:hint="eastAsia" w:ascii="黑体" w:hAnsi="黑体" w:eastAsia="黑体" w:cs="黑体"/>
          <w:b/>
          <w:bCs/>
          <w:color w:val="000000" w:themeColor="text1"/>
          <w:sz w:val="32"/>
          <w:szCs w:val="32"/>
          <w14:textFill>
            <w14:solidFill>
              <w14:schemeClr w14:val="tx1"/>
            </w14:solidFill>
          </w14:textFill>
        </w:rPr>
        <w:t>47号文、14号文背景下政府债务化债实务</w:t>
      </w:r>
      <w:r>
        <w:rPr>
          <w:rFonts w:hint="eastAsia" w:ascii="黑体" w:hAnsi="黑体" w:eastAsia="黑体" w:cs="黑体"/>
          <w:b/>
          <w:bCs/>
          <w:color w:val="000000" w:themeColor="text1"/>
          <w:sz w:val="32"/>
          <w:szCs w:val="32"/>
          <w:lang w:eastAsia="zh-CN"/>
          <w14:textFill>
            <w14:solidFill>
              <w14:schemeClr w14:val="tx1"/>
            </w14:solidFill>
          </w14:textFill>
        </w:rPr>
        <w:t>、</w:t>
      </w:r>
      <w:r>
        <w:rPr>
          <w:rFonts w:hint="eastAsia" w:ascii="黑体" w:hAnsi="黑体" w:eastAsia="黑体" w:cs="黑体"/>
          <w:b/>
          <w:bCs/>
          <w:color w:val="000000" w:themeColor="text1"/>
          <w:sz w:val="32"/>
          <w:szCs w:val="32"/>
          <w14:textFill>
            <w14:solidFill>
              <w14:schemeClr w14:val="tx1"/>
            </w14:solidFill>
          </w14:textFill>
        </w:rPr>
        <w:t>PPP新机制下特许经营实操要点、三大工程合规运作高级研修班</w:t>
      </w:r>
      <w:r>
        <w:rPr>
          <w:rFonts w:hint="eastAsia" w:ascii="黑体" w:hAnsi="黑体" w:eastAsia="黑体" w:cs="黑体"/>
          <w:b/>
          <w:bCs/>
          <w:color w:val="000000" w:themeColor="text1"/>
          <w:sz w:val="32"/>
          <w:szCs w:val="32"/>
          <w:lang w:eastAsia="zh-CN"/>
          <w14:textFill>
            <w14:solidFill>
              <w14:schemeClr w14:val="tx1"/>
            </w14:solidFill>
          </w14:textFill>
        </w:rPr>
        <w:t>”</w:t>
      </w:r>
      <w:r>
        <w:rPr>
          <w:rFonts w:hint="eastAsia" w:ascii="黑体" w:hAnsi="黑体" w:eastAsia="黑体" w:cs="黑体"/>
          <w:b/>
          <w:bCs/>
          <w:color w:val="000000" w:themeColor="text1"/>
          <w:sz w:val="32"/>
          <w:szCs w:val="32"/>
          <w:lang w:val="en-US" w:eastAsia="zh-CN"/>
          <w14:textFill>
            <w14:solidFill>
              <w14:schemeClr w14:val="tx1"/>
            </w14:solidFill>
          </w14:textFill>
        </w:rPr>
        <w:t>报名回执表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《投融资规划师》□</w:t>
            </w:r>
            <w:r>
              <w:rPr>
                <w:rFonts w:hint="eastAsia" w:ascii="仿宋" w:hAnsi="仿宋" w:eastAsia="仿宋" w:cs="仿宋"/>
                <w:bCs/>
                <w:color w:val="000000" w:themeColor="text1"/>
                <w:sz w:val="28"/>
                <w:szCs w:val="28"/>
                <w:lang w:val="en-US" w:eastAsia="zh-CN"/>
                <w14:textFill>
                  <w14:solidFill>
                    <w14:schemeClr w14:val="tx1"/>
                  </w14:solidFill>
                </w14:textFill>
              </w:rPr>
              <w:t xml:space="preserve">    中国投资协会会员</w:t>
            </w:r>
            <w:r>
              <w:rPr>
                <w:rFonts w:hint="eastAsia"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银行</w:t>
            </w:r>
            <w:r>
              <w:rPr>
                <w:rFonts w:hint="eastAsia" w:ascii="仿宋" w:hAnsi="仿宋" w:eastAsia="仿宋" w:cs="仿宋"/>
                <w:bCs/>
                <w:color w:val="000000" w:themeColor="text1"/>
                <w:sz w:val="28"/>
                <w:szCs w:val="28"/>
                <w14:textFill>
                  <w14:solidFill>
                    <w14:schemeClr w14:val="tx1"/>
                  </w14:solidFill>
                </w14:textFill>
              </w:rPr>
              <w:t>转账□      现场</w:t>
            </w:r>
            <w:r>
              <w:rPr>
                <w:rFonts w:hint="eastAsia" w:ascii="仿宋" w:hAnsi="仿宋" w:eastAsia="仿宋" w:cs="仿宋"/>
                <w:bCs/>
                <w:color w:val="000000" w:themeColor="text1"/>
                <w:sz w:val="28"/>
                <w:szCs w:val="28"/>
                <w:lang w:val="en-US" w:eastAsia="zh-CN"/>
                <w14:textFill>
                  <w14:solidFill>
                    <w14:schemeClr w14:val="tx1"/>
                  </w14:solidFill>
                </w14:textFill>
              </w:rPr>
              <w:t>交费</w:t>
            </w:r>
            <w:r>
              <w:rPr>
                <w:rFonts w:hint="eastAsia" w:ascii="仿宋" w:hAnsi="仿宋" w:eastAsia="仿宋" w:cs="仿宋"/>
                <w:bCs/>
                <w:color w:val="000000" w:themeColor="text1"/>
                <w:sz w:val="28"/>
                <w:szCs w:val="28"/>
                <w14:textFill>
                  <w14:solidFill>
                    <w14:schemeClr w14:val="tx1"/>
                  </w14:solidFill>
                </w14:textFill>
              </w:rPr>
              <w:t>□</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vAlign w:val="center"/>
          </w:tcPr>
          <w:p>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开户名称：北京中建科信管理咨询集团有限公司</w:t>
            </w:r>
          </w:p>
          <w:p>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开 户 行：中国工商银行北京半壁店支行</w:t>
            </w:r>
          </w:p>
          <w:p>
            <w:pPr>
              <w:tabs>
                <w:tab w:val="left" w:pos="567"/>
                <w:tab w:val="left" w:pos="709"/>
              </w:tabs>
              <w:spacing w:line="300" w:lineRule="exact"/>
              <w:jc w:val="both"/>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账 号：0200247009200068235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14:textFill>
                  <w14:solidFill>
                    <w14:schemeClr w14:val="tx1"/>
                  </w14:solidFill>
                </w14:textFill>
              </w:rPr>
              <w:t>（盖章）</w:t>
            </w:r>
          </w:p>
          <w:p>
            <w:pPr>
              <w:pStyle w:val="10"/>
              <w:ind w:left="480" w:firstLine="480"/>
              <w:rPr>
                <w:rFonts w:hint="default"/>
                <w:color w:val="000000" w:themeColor="text1"/>
                <w14:textFill>
                  <w14:solidFill>
                    <w14:schemeClr w14:val="tx1"/>
                  </w14:solidFill>
                </w14:textFill>
              </w:rPr>
            </w:pPr>
          </w:p>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ascii="仿宋" w:hAnsi="仿宋" w:eastAsia="仿宋" w:cs="仿宋"/>
                <w:bCs/>
                <w:color w:val="000000" w:themeColor="text1"/>
                <w:sz w:val="28"/>
                <w:szCs w:val="28"/>
                <w14:textFill>
                  <w14:solidFill>
                    <w14:schemeClr w14:val="tx1"/>
                  </w14:solidFill>
                </w14:textFill>
              </w:rPr>
              <w:t>年  月  日</w:t>
            </w:r>
          </w:p>
        </w:tc>
      </w:tr>
    </w:tbl>
    <w:p>
      <w:pPr>
        <w:autoSpaceDE/>
        <w:autoSpaceDN/>
        <w:adjustRightInd/>
        <w:snapToGrid w:val="0"/>
        <w:spacing w:line="440" w:lineRule="atLeast"/>
        <w:rPr>
          <w:rFonts w:ascii="仿宋" w:hAnsi="仿宋" w:eastAsia="仿宋" w:cs="仿宋"/>
          <w:color w:val="000000" w:themeColor="text1"/>
          <w:sz w:val="28"/>
          <w:szCs w:val="28"/>
          <w14:textFill>
            <w14:solidFill>
              <w14:schemeClr w14:val="tx1"/>
            </w14:solidFill>
          </w14:textFill>
        </w:rPr>
      </w:pPr>
    </w:p>
    <w:p>
      <w:pPr>
        <w:spacing w:line="440" w:lineRule="atLeas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报名负责人：聂红军 主任18211071700（微信）   </w:t>
      </w:r>
    </w:p>
    <w:p>
      <w:pPr>
        <w:spacing w:line="440" w:lineRule="atLeas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    话：13141289128        邮    箱：zqgphwz@126.com  </w:t>
      </w:r>
    </w:p>
    <w:p>
      <w:pPr>
        <w:spacing w:line="440" w:lineRule="atLeast"/>
        <w:rPr>
          <w:rStyle w:val="13"/>
          <w:rFonts w:hint="default" w:ascii="仿宋" w:hAnsi="仿宋" w:eastAsia="仿宋" w:cs="仿宋"/>
          <w:b w:val="0"/>
          <w:color w:val="000000" w:themeColor="text1"/>
          <w:kern w:val="2"/>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qq咨询：3177524020          网    址：http://www.zqgpchina.cn</w:t>
      </w:r>
    </w:p>
    <w:sectPr>
      <w:pgSz w:w="11906" w:h="16838"/>
      <w:pgMar w:top="1440" w:right="1587" w:bottom="1440"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47C58"/>
    <w:multiLevelType w:val="singleLevel"/>
    <w:tmpl w:val="B8F47C5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MWM5NTU3NmQwMzYzZGY2NjUyMjZkNDUzMDVhNDkifQ=="/>
  </w:docVars>
  <w:rsids>
    <w:rsidRoot w:val="009A4718"/>
    <w:rsid w:val="000111BB"/>
    <w:rsid w:val="00023D51"/>
    <w:rsid w:val="00035C2D"/>
    <w:rsid w:val="00067BD4"/>
    <w:rsid w:val="0009075B"/>
    <w:rsid w:val="0009632B"/>
    <w:rsid w:val="000B5CF0"/>
    <w:rsid w:val="000E468A"/>
    <w:rsid w:val="000F0735"/>
    <w:rsid w:val="000F7912"/>
    <w:rsid w:val="00101FAE"/>
    <w:rsid w:val="00112650"/>
    <w:rsid w:val="001320AD"/>
    <w:rsid w:val="00165350"/>
    <w:rsid w:val="0017622F"/>
    <w:rsid w:val="001B15FC"/>
    <w:rsid w:val="001C423C"/>
    <w:rsid w:val="001D5820"/>
    <w:rsid w:val="001F07DE"/>
    <w:rsid w:val="001F266D"/>
    <w:rsid w:val="001F2CC6"/>
    <w:rsid w:val="001F5DBA"/>
    <w:rsid w:val="002016D4"/>
    <w:rsid w:val="00230A62"/>
    <w:rsid w:val="00262218"/>
    <w:rsid w:val="002733FA"/>
    <w:rsid w:val="002826B1"/>
    <w:rsid w:val="00286AAF"/>
    <w:rsid w:val="002A5354"/>
    <w:rsid w:val="002B53F2"/>
    <w:rsid w:val="002C7D33"/>
    <w:rsid w:val="002D3428"/>
    <w:rsid w:val="002D7C2D"/>
    <w:rsid w:val="00303B6C"/>
    <w:rsid w:val="0031284C"/>
    <w:rsid w:val="00360AC6"/>
    <w:rsid w:val="00366D1D"/>
    <w:rsid w:val="003B1F67"/>
    <w:rsid w:val="003C0104"/>
    <w:rsid w:val="003D3698"/>
    <w:rsid w:val="003E36E5"/>
    <w:rsid w:val="003E4E6E"/>
    <w:rsid w:val="003F712A"/>
    <w:rsid w:val="004127EC"/>
    <w:rsid w:val="0042016E"/>
    <w:rsid w:val="0042243A"/>
    <w:rsid w:val="00444929"/>
    <w:rsid w:val="00490AAB"/>
    <w:rsid w:val="004B699A"/>
    <w:rsid w:val="004C2C6B"/>
    <w:rsid w:val="00500594"/>
    <w:rsid w:val="00507BEB"/>
    <w:rsid w:val="00510FDD"/>
    <w:rsid w:val="005258A8"/>
    <w:rsid w:val="005F7916"/>
    <w:rsid w:val="006011E8"/>
    <w:rsid w:val="00601C30"/>
    <w:rsid w:val="00605B40"/>
    <w:rsid w:val="006068B5"/>
    <w:rsid w:val="00616606"/>
    <w:rsid w:val="00657822"/>
    <w:rsid w:val="00660D1E"/>
    <w:rsid w:val="006618C6"/>
    <w:rsid w:val="00663868"/>
    <w:rsid w:val="00670351"/>
    <w:rsid w:val="00671816"/>
    <w:rsid w:val="006B69A3"/>
    <w:rsid w:val="006D6D3A"/>
    <w:rsid w:val="006E23D4"/>
    <w:rsid w:val="006F117C"/>
    <w:rsid w:val="006F58F0"/>
    <w:rsid w:val="00706D80"/>
    <w:rsid w:val="00724E89"/>
    <w:rsid w:val="00757655"/>
    <w:rsid w:val="00757AA3"/>
    <w:rsid w:val="00760628"/>
    <w:rsid w:val="0078469F"/>
    <w:rsid w:val="00786656"/>
    <w:rsid w:val="007A06B7"/>
    <w:rsid w:val="007A7149"/>
    <w:rsid w:val="007B7767"/>
    <w:rsid w:val="007E57E5"/>
    <w:rsid w:val="007F29DF"/>
    <w:rsid w:val="007F5FC8"/>
    <w:rsid w:val="008105A7"/>
    <w:rsid w:val="00832BCD"/>
    <w:rsid w:val="008334D8"/>
    <w:rsid w:val="00836D30"/>
    <w:rsid w:val="00843C21"/>
    <w:rsid w:val="0085248F"/>
    <w:rsid w:val="00860964"/>
    <w:rsid w:val="00881445"/>
    <w:rsid w:val="00882120"/>
    <w:rsid w:val="008A39AB"/>
    <w:rsid w:val="008B199B"/>
    <w:rsid w:val="008E378E"/>
    <w:rsid w:val="008E633F"/>
    <w:rsid w:val="008E79C6"/>
    <w:rsid w:val="008F0258"/>
    <w:rsid w:val="009176A2"/>
    <w:rsid w:val="00920D6E"/>
    <w:rsid w:val="00925ADE"/>
    <w:rsid w:val="009308F0"/>
    <w:rsid w:val="00930C9B"/>
    <w:rsid w:val="009472B7"/>
    <w:rsid w:val="00957A5B"/>
    <w:rsid w:val="009601BE"/>
    <w:rsid w:val="00970D44"/>
    <w:rsid w:val="00981D3A"/>
    <w:rsid w:val="009A4718"/>
    <w:rsid w:val="009A4BA7"/>
    <w:rsid w:val="00A0339F"/>
    <w:rsid w:val="00A16535"/>
    <w:rsid w:val="00A17C72"/>
    <w:rsid w:val="00A21947"/>
    <w:rsid w:val="00A35324"/>
    <w:rsid w:val="00A55121"/>
    <w:rsid w:val="00A6651E"/>
    <w:rsid w:val="00A76A48"/>
    <w:rsid w:val="00A86334"/>
    <w:rsid w:val="00AB4C35"/>
    <w:rsid w:val="00AF6597"/>
    <w:rsid w:val="00B0351C"/>
    <w:rsid w:val="00B565CD"/>
    <w:rsid w:val="00B73582"/>
    <w:rsid w:val="00B73A86"/>
    <w:rsid w:val="00B865F7"/>
    <w:rsid w:val="00B87A6C"/>
    <w:rsid w:val="00B953A2"/>
    <w:rsid w:val="00BC37A5"/>
    <w:rsid w:val="00BC57E5"/>
    <w:rsid w:val="00BE0FB0"/>
    <w:rsid w:val="00C10B2E"/>
    <w:rsid w:val="00C234E4"/>
    <w:rsid w:val="00C44BC1"/>
    <w:rsid w:val="00C5747F"/>
    <w:rsid w:val="00C660E6"/>
    <w:rsid w:val="00C7524A"/>
    <w:rsid w:val="00C96EFB"/>
    <w:rsid w:val="00CA083A"/>
    <w:rsid w:val="00CE67E2"/>
    <w:rsid w:val="00CF1181"/>
    <w:rsid w:val="00D23939"/>
    <w:rsid w:val="00D33D09"/>
    <w:rsid w:val="00D43F87"/>
    <w:rsid w:val="00D47982"/>
    <w:rsid w:val="00D71D37"/>
    <w:rsid w:val="00D74547"/>
    <w:rsid w:val="00DA154B"/>
    <w:rsid w:val="00DB24B2"/>
    <w:rsid w:val="00DB62D4"/>
    <w:rsid w:val="00DC5B74"/>
    <w:rsid w:val="00DC78B4"/>
    <w:rsid w:val="00DF3CB1"/>
    <w:rsid w:val="00E23AA1"/>
    <w:rsid w:val="00E24129"/>
    <w:rsid w:val="00E364AD"/>
    <w:rsid w:val="00E40FB3"/>
    <w:rsid w:val="00E51A5B"/>
    <w:rsid w:val="00E54A37"/>
    <w:rsid w:val="00E65A89"/>
    <w:rsid w:val="00E71C2E"/>
    <w:rsid w:val="00E73D9A"/>
    <w:rsid w:val="00EB3F9D"/>
    <w:rsid w:val="00EC2070"/>
    <w:rsid w:val="00ED0791"/>
    <w:rsid w:val="00F2027E"/>
    <w:rsid w:val="00F31608"/>
    <w:rsid w:val="00F4034C"/>
    <w:rsid w:val="00F52CD5"/>
    <w:rsid w:val="00F70584"/>
    <w:rsid w:val="00F75886"/>
    <w:rsid w:val="00F847DA"/>
    <w:rsid w:val="00FA5D57"/>
    <w:rsid w:val="00FA68FB"/>
    <w:rsid w:val="00FD3268"/>
    <w:rsid w:val="00FD7D45"/>
    <w:rsid w:val="00FE0B0D"/>
    <w:rsid w:val="01072441"/>
    <w:rsid w:val="0115065C"/>
    <w:rsid w:val="015C14C1"/>
    <w:rsid w:val="01873FBC"/>
    <w:rsid w:val="01A54065"/>
    <w:rsid w:val="02245201"/>
    <w:rsid w:val="024758F8"/>
    <w:rsid w:val="0264395E"/>
    <w:rsid w:val="02AF70B3"/>
    <w:rsid w:val="02B01FAE"/>
    <w:rsid w:val="03B573D0"/>
    <w:rsid w:val="03BD2A1A"/>
    <w:rsid w:val="03DE1A18"/>
    <w:rsid w:val="040074A3"/>
    <w:rsid w:val="04421273"/>
    <w:rsid w:val="045246C4"/>
    <w:rsid w:val="0473474D"/>
    <w:rsid w:val="04FA6554"/>
    <w:rsid w:val="05264D9D"/>
    <w:rsid w:val="05281683"/>
    <w:rsid w:val="055F0F75"/>
    <w:rsid w:val="057A17B3"/>
    <w:rsid w:val="05812B41"/>
    <w:rsid w:val="059A2F73"/>
    <w:rsid w:val="059D13C6"/>
    <w:rsid w:val="05DB6A0D"/>
    <w:rsid w:val="05F05251"/>
    <w:rsid w:val="06446DA8"/>
    <w:rsid w:val="06562BCE"/>
    <w:rsid w:val="06732077"/>
    <w:rsid w:val="06906F26"/>
    <w:rsid w:val="06A76AC5"/>
    <w:rsid w:val="073758B6"/>
    <w:rsid w:val="075C0B4F"/>
    <w:rsid w:val="07DD1D97"/>
    <w:rsid w:val="07E24293"/>
    <w:rsid w:val="08114065"/>
    <w:rsid w:val="085722EB"/>
    <w:rsid w:val="08D80954"/>
    <w:rsid w:val="09574C75"/>
    <w:rsid w:val="0A19645B"/>
    <w:rsid w:val="0A1F1C61"/>
    <w:rsid w:val="0A4725AB"/>
    <w:rsid w:val="0AB5280A"/>
    <w:rsid w:val="0AE00BC8"/>
    <w:rsid w:val="0B3F3B13"/>
    <w:rsid w:val="0B7C40B9"/>
    <w:rsid w:val="0B97030C"/>
    <w:rsid w:val="0BD31815"/>
    <w:rsid w:val="0C654FEF"/>
    <w:rsid w:val="0C750503"/>
    <w:rsid w:val="0C757B9B"/>
    <w:rsid w:val="0CA967FE"/>
    <w:rsid w:val="0D781D42"/>
    <w:rsid w:val="0DA135C5"/>
    <w:rsid w:val="0DE9579D"/>
    <w:rsid w:val="0E6A7443"/>
    <w:rsid w:val="0E82376F"/>
    <w:rsid w:val="0E9B61FF"/>
    <w:rsid w:val="0EB13649"/>
    <w:rsid w:val="0EC9239C"/>
    <w:rsid w:val="0ED45BB5"/>
    <w:rsid w:val="0F233D68"/>
    <w:rsid w:val="0F816F20"/>
    <w:rsid w:val="0FE97C61"/>
    <w:rsid w:val="103819F7"/>
    <w:rsid w:val="10501289"/>
    <w:rsid w:val="1053724B"/>
    <w:rsid w:val="106D2640"/>
    <w:rsid w:val="108965B9"/>
    <w:rsid w:val="10E46B9A"/>
    <w:rsid w:val="10F42D58"/>
    <w:rsid w:val="11117CBE"/>
    <w:rsid w:val="113E3B6A"/>
    <w:rsid w:val="115E0DC8"/>
    <w:rsid w:val="11AB1900"/>
    <w:rsid w:val="11B32288"/>
    <w:rsid w:val="12040D82"/>
    <w:rsid w:val="122B1BC6"/>
    <w:rsid w:val="125B567F"/>
    <w:rsid w:val="12A14823"/>
    <w:rsid w:val="12AE7D8A"/>
    <w:rsid w:val="12EE1603"/>
    <w:rsid w:val="12F92A2E"/>
    <w:rsid w:val="131A3105"/>
    <w:rsid w:val="13B37F48"/>
    <w:rsid w:val="13BA4E76"/>
    <w:rsid w:val="140C2170"/>
    <w:rsid w:val="14246519"/>
    <w:rsid w:val="14813515"/>
    <w:rsid w:val="14A05074"/>
    <w:rsid w:val="14A405FA"/>
    <w:rsid w:val="14AA3E63"/>
    <w:rsid w:val="14B761FD"/>
    <w:rsid w:val="150B41FA"/>
    <w:rsid w:val="155C0CB5"/>
    <w:rsid w:val="156423D0"/>
    <w:rsid w:val="15AB2D48"/>
    <w:rsid w:val="15BB0ED0"/>
    <w:rsid w:val="15F1161D"/>
    <w:rsid w:val="15F519A8"/>
    <w:rsid w:val="15F66A2C"/>
    <w:rsid w:val="15FD7FC2"/>
    <w:rsid w:val="16816EC6"/>
    <w:rsid w:val="16933D66"/>
    <w:rsid w:val="16D42978"/>
    <w:rsid w:val="1714344D"/>
    <w:rsid w:val="17264508"/>
    <w:rsid w:val="17501762"/>
    <w:rsid w:val="178169D1"/>
    <w:rsid w:val="179A6F33"/>
    <w:rsid w:val="17A76534"/>
    <w:rsid w:val="17E562F3"/>
    <w:rsid w:val="18180676"/>
    <w:rsid w:val="18184C74"/>
    <w:rsid w:val="186F35B0"/>
    <w:rsid w:val="189509C3"/>
    <w:rsid w:val="18AB4577"/>
    <w:rsid w:val="18B41400"/>
    <w:rsid w:val="19041D89"/>
    <w:rsid w:val="196565AA"/>
    <w:rsid w:val="197545FC"/>
    <w:rsid w:val="19A44506"/>
    <w:rsid w:val="19DB6AAB"/>
    <w:rsid w:val="1A0B2771"/>
    <w:rsid w:val="1A200723"/>
    <w:rsid w:val="1A3B3909"/>
    <w:rsid w:val="1A8D572D"/>
    <w:rsid w:val="1B0E2616"/>
    <w:rsid w:val="1BCC2910"/>
    <w:rsid w:val="1BF26C26"/>
    <w:rsid w:val="1C303806"/>
    <w:rsid w:val="1C4117B3"/>
    <w:rsid w:val="1C685977"/>
    <w:rsid w:val="1C6E39C8"/>
    <w:rsid w:val="1C7062EE"/>
    <w:rsid w:val="1D0B2A5F"/>
    <w:rsid w:val="1D4F4D9A"/>
    <w:rsid w:val="1E8E4798"/>
    <w:rsid w:val="1EE61D2F"/>
    <w:rsid w:val="1F0C74C8"/>
    <w:rsid w:val="1F666BD8"/>
    <w:rsid w:val="1F71124A"/>
    <w:rsid w:val="1F72557D"/>
    <w:rsid w:val="1FE01D86"/>
    <w:rsid w:val="1FE83A91"/>
    <w:rsid w:val="20051B1C"/>
    <w:rsid w:val="20263587"/>
    <w:rsid w:val="203B216B"/>
    <w:rsid w:val="20440B47"/>
    <w:rsid w:val="206D3F96"/>
    <w:rsid w:val="20E53D47"/>
    <w:rsid w:val="20F06D17"/>
    <w:rsid w:val="215A3612"/>
    <w:rsid w:val="21DF2625"/>
    <w:rsid w:val="21E97F2A"/>
    <w:rsid w:val="21F073E7"/>
    <w:rsid w:val="21F12989"/>
    <w:rsid w:val="2200156D"/>
    <w:rsid w:val="22072402"/>
    <w:rsid w:val="22B805DD"/>
    <w:rsid w:val="22BC1795"/>
    <w:rsid w:val="22CE36FA"/>
    <w:rsid w:val="22E513D6"/>
    <w:rsid w:val="23620E38"/>
    <w:rsid w:val="237E71FA"/>
    <w:rsid w:val="23967AFF"/>
    <w:rsid w:val="23C27530"/>
    <w:rsid w:val="23C37729"/>
    <w:rsid w:val="24361C58"/>
    <w:rsid w:val="24773635"/>
    <w:rsid w:val="24D63FFA"/>
    <w:rsid w:val="24FB7DC2"/>
    <w:rsid w:val="25123D82"/>
    <w:rsid w:val="253770BD"/>
    <w:rsid w:val="25843DEF"/>
    <w:rsid w:val="25A25ED6"/>
    <w:rsid w:val="25C16AB4"/>
    <w:rsid w:val="25F337E9"/>
    <w:rsid w:val="262354A3"/>
    <w:rsid w:val="26342E4D"/>
    <w:rsid w:val="26625556"/>
    <w:rsid w:val="2668544C"/>
    <w:rsid w:val="266F6E32"/>
    <w:rsid w:val="26D644B1"/>
    <w:rsid w:val="26DE09BC"/>
    <w:rsid w:val="26E52AD8"/>
    <w:rsid w:val="26F0697A"/>
    <w:rsid w:val="27641A88"/>
    <w:rsid w:val="27715140"/>
    <w:rsid w:val="27F45FB8"/>
    <w:rsid w:val="28DE3A55"/>
    <w:rsid w:val="295A4D47"/>
    <w:rsid w:val="29765048"/>
    <w:rsid w:val="29C6277A"/>
    <w:rsid w:val="2A1E0A6E"/>
    <w:rsid w:val="2A27567B"/>
    <w:rsid w:val="2A69694D"/>
    <w:rsid w:val="2A706EB5"/>
    <w:rsid w:val="2A753D5F"/>
    <w:rsid w:val="2A83427F"/>
    <w:rsid w:val="2ADE4A98"/>
    <w:rsid w:val="2B350720"/>
    <w:rsid w:val="2B4C33D5"/>
    <w:rsid w:val="2BDB1E5C"/>
    <w:rsid w:val="2C2D1D7B"/>
    <w:rsid w:val="2C5D22DE"/>
    <w:rsid w:val="2C6E531E"/>
    <w:rsid w:val="2C8608B9"/>
    <w:rsid w:val="2CA40883"/>
    <w:rsid w:val="2CBE75F5"/>
    <w:rsid w:val="2CE43832"/>
    <w:rsid w:val="2D0E42D8"/>
    <w:rsid w:val="2D1A7EA0"/>
    <w:rsid w:val="2D8F1B36"/>
    <w:rsid w:val="2DB46FA5"/>
    <w:rsid w:val="2DBF62E8"/>
    <w:rsid w:val="2DE83DB8"/>
    <w:rsid w:val="2DED76C6"/>
    <w:rsid w:val="2E596715"/>
    <w:rsid w:val="2E9040A3"/>
    <w:rsid w:val="2EFC4A1E"/>
    <w:rsid w:val="2FDA21C9"/>
    <w:rsid w:val="30407329"/>
    <w:rsid w:val="307748D0"/>
    <w:rsid w:val="30C44B26"/>
    <w:rsid w:val="30CD0A31"/>
    <w:rsid w:val="30FB5917"/>
    <w:rsid w:val="31565A94"/>
    <w:rsid w:val="316A211F"/>
    <w:rsid w:val="318E7FC4"/>
    <w:rsid w:val="320E3755"/>
    <w:rsid w:val="32184D18"/>
    <w:rsid w:val="325C70AD"/>
    <w:rsid w:val="326F69DE"/>
    <w:rsid w:val="327E19AF"/>
    <w:rsid w:val="328155E6"/>
    <w:rsid w:val="32D72F28"/>
    <w:rsid w:val="32EC51EE"/>
    <w:rsid w:val="33401545"/>
    <w:rsid w:val="341F4D62"/>
    <w:rsid w:val="34552AB1"/>
    <w:rsid w:val="346522CB"/>
    <w:rsid w:val="34672D65"/>
    <w:rsid w:val="34696DF9"/>
    <w:rsid w:val="34803E81"/>
    <w:rsid w:val="34964A59"/>
    <w:rsid w:val="349C765D"/>
    <w:rsid w:val="34BB53BA"/>
    <w:rsid w:val="35045D6D"/>
    <w:rsid w:val="35225E78"/>
    <w:rsid w:val="35416C6E"/>
    <w:rsid w:val="3573365D"/>
    <w:rsid w:val="35C9302D"/>
    <w:rsid w:val="36505182"/>
    <w:rsid w:val="3661655B"/>
    <w:rsid w:val="367976C0"/>
    <w:rsid w:val="369072D2"/>
    <w:rsid w:val="36D9309D"/>
    <w:rsid w:val="36EC0361"/>
    <w:rsid w:val="3724506C"/>
    <w:rsid w:val="3787085D"/>
    <w:rsid w:val="37985945"/>
    <w:rsid w:val="379F3067"/>
    <w:rsid w:val="37A51045"/>
    <w:rsid w:val="37C24B91"/>
    <w:rsid w:val="38084E35"/>
    <w:rsid w:val="382120F0"/>
    <w:rsid w:val="38250D94"/>
    <w:rsid w:val="38723749"/>
    <w:rsid w:val="38822136"/>
    <w:rsid w:val="39977B66"/>
    <w:rsid w:val="39B96CC3"/>
    <w:rsid w:val="39F239E4"/>
    <w:rsid w:val="39F50C8A"/>
    <w:rsid w:val="3A450054"/>
    <w:rsid w:val="3A8A4DE5"/>
    <w:rsid w:val="3AA74822"/>
    <w:rsid w:val="3AD21349"/>
    <w:rsid w:val="3ADD7E98"/>
    <w:rsid w:val="3B346A17"/>
    <w:rsid w:val="3B4B69BD"/>
    <w:rsid w:val="3B7309FF"/>
    <w:rsid w:val="3B85184B"/>
    <w:rsid w:val="3BE44AA9"/>
    <w:rsid w:val="3C03029A"/>
    <w:rsid w:val="3C0F1800"/>
    <w:rsid w:val="3C2E121E"/>
    <w:rsid w:val="3C553E04"/>
    <w:rsid w:val="3D20698D"/>
    <w:rsid w:val="3D393539"/>
    <w:rsid w:val="3D3B2FAA"/>
    <w:rsid w:val="3D485A6F"/>
    <w:rsid w:val="3D6F02C3"/>
    <w:rsid w:val="3D9B4081"/>
    <w:rsid w:val="3E3143FD"/>
    <w:rsid w:val="3E52076E"/>
    <w:rsid w:val="3EA465AA"/>
    <w:rsid w:val="3F05595C"/>
    <w:rsid w:val="3F447022"/>
    <w:rsid w:val="3FE23C01"/>
    <w:rsid w:val="403B2369"/>
    <w:rsid w:val="40582115"/>
    <w:rsid w:val="4079291A"/>
    <w:rsid w:val="40910BEF"/>
    <w:rsid w:val="40D36DC5"/>
    <w:rsid w:val="41C55CDB"/>
    <w:rsid w:val="41D26947"/>
    <w:rsid w:val="426206AE"/>
    <w:rsid w:val="426848B1"/>
    <w:rsid w:val="428233A0"/>
    <w:rsid w:val="42CD1DE0"/>
    <w:rsid w:val="42E70726"/>
    <w:rsid w:val="431C567C"/>
    <w:rsid w:val="438A0138"/>
    <w:rsid w:val="438F31E1"/>
    <w:rsid w:val="44CA4883"/>
    <w:rsid w:val="44D47D47"/>
    <w:rsid w:val="45041B70"/>
    <w:rsid w:val="45065223"/>
    <w:rsid w:val="451E0702"/>
    <w:rsid w:val="452B604A"/>
    <w:rsid w:val="454B2248"/>
    <w:rsid w:val="458A6696"/>
    <w:rsid w:val="459831FD"/>
    <w:rsid w:val="45DC4AB6"/>
    <w:rsid w:val="461813B4"/>
    <w:rsid w:val="465E3003"/>
    <w:rsid w:val="46654ACA"/>
    <w:rsid w:val="467D407E"/>
    <w:rsid w:val="46B14C57"/>
    <w:rsid w:val="46E6706D"/>
    <w:rsid w:val="47006664"/>
    <w:rsid w:val="470F75CA"/>
    <w:rsid w:val="47856EB2"/>
    <w:rsid w:val="47AE7D34"/>
    <w:rsid w:val="480D4B17"/>
    <w:rsid w:val="48153718"/>
    <w:rsid w:val="4821332C"/>
    <w:rsid w:val="4821563F"/>
    <w:rsid w:val="486263F0"/>
    <w:rsid w:val="48A82B51"/>
    <w:rsid w:val="49732973"/>
    <w:rsid w:val="499A554C"/>
    <w:rsid w:val="4A423AB9"/>
    <w:rsid w:val="4A633B90"/>
    <w:rsid w:val="4A6A5277"/>
    <w:rsid w:val="4A754366"/>
    <w:rsid w:val="4A8A1038"/>
    <w:rsid w:val="4A9D0A10"/>
    <w:rsid w:val="4AD26894"/>
    <w:rsid w:val="4B007DB0"/>
    <w:rsid w:val="4B044599"/>
    <w:rsid w:val="4B0A0426"/>
    <w:rsid w:val="4B165694"/>
    <w:rsid w:val="4BF35F73"/>
    <w:rsid w:val="4C1E23D7"/>
    <w:rsid w:val="4C2571E3"/>
    <w:rsid w:val="4CDD5E7C"/>
    <w:rsid w:val="4D39437A"/>
    <w:rsid w:val="4EA12ED9"/>
    <w:rsid w:val="4EA52361"/>
    <w:rsid w:val="4ED0711C"/>
    <w:rsid w:val="4F516ADE"/>
    <w:rsid w:val="4FA90297"/>
    <w:rsid w:val="4FD04CD8"/>
    <w:rsid w:val="4FD13825"/>
    <w:rsid w:val="4FEF1CD4"/>
    <w:rsid w:val="4FEF2189"/>
    <w:rsid w:val="501B18DD"/>
    <w:rsid w:val="503D0BF9"/>
    <w:rsid w:val="50736840"/>
    <w:rsid w:val="50B14F39"/>
    <w:rsid w:val="50CA130D"/>
    <w:rsid w:val="50F64C4A"/>
    <w:rsid w:val="51BA57D7"/>
    <w:rsid w:val="51E348B7"/>
    <w:rsid w:val="528470F3"/>
    <w:rsid w:val="53184694"/>
    <w:rsid w:val="53375C36"/>
    <w:rsid w:val="533D1D6A"/>
    <w:rsid w:val="53534B98"/>
    <w:rsid w:val="535644D0"/>
    <w:rsid w:val="536746F1"/>
    <w:rsid w:val="537C7F93"/>
    <w:rsid w:val="53C87612"/>
    <w:rsid w:val="5422726A"/>
    <w:rsid w:val="54313F0D"/>
    <w:rsid w:val="55791D47"/>
    <w:rsid w:val="55822B8C"/>
    <w:rsid w:val="55921102"/>
    <w:rsid w:val="55B47ADA"/>
    <w:rsid w:val="55C0612F"/>
    <w:rsid w:val="561724F7"/>
    <w:rsid w:val="5649565E"/>
    <w:rsid w:val="56663210"/>
    <w:rsid w:val="56680E97"/>
    <w:rsid w:val="566F5F59"/>
    <w:rsid w:val="5685733F"/>
    <w:rsid w:val="57F227C1"/>
    <w:rsid w:val="57F83E70"/>
    <w:rsid w:val="584E7013"/>
    <w:rsid w:val="584F0362"/>
    <w:rsid w:val="58825BDE"/>
    <w:rsid w:val="59D55AC8"/>
    <w:rsid w:val="5A261A69"/>
    <w:rsid w:val="5A2F58EB"/>
    <w:rsid w:val="5A3369BE"/>
    <w:rsid w:val="5A787A2B"/>
    <w:rsid w:val="5A7D47FA"/>
    <w:rsid w:val="5A8A431E"/>
    <w:rsid w:val="5A9C0F69"/>
    <w:rsid w:val="5A9F29EB"/>
    <w:rsid w:val="5B082961"/>
    <w:rsid w:val="5B0A0F3F"/>
    <w:rsid w:val="5BFB1E7B"/>
    <w:rsid w:val="5C1C7827"/>
    <w:rsid w:val="5C9A1694"/>
    <w:rsid w:val="5CD91E7E"/>
    <w:rsid w:val="5D125496"/>
    <w:rsid w:val="5D242384"/>
    <w:rsid w:val="5D650E25"/>
    <w:rsid w:val="5DBC4F9A"/>
    <w:rsid w:val="5E0A2849"/>
    <w:rsid w:val="5E5B4E53"/>
    <w:rsid w:val="5E9807BF"/>
    <w:rsid w:val="5ECB22E5"/>
    <w:rsid w:val="5ECB26F7"/>
    <w:rsid w:val="5EE6663C"/>
    <w:rsid w:val="5F0B0627"/>
    <w:rsid w:val="5F103E8F"/>
    <w:rsid w:val="5F661586"/>
    <w:rsid w:val="5F79218C"/>
    <w:rsid w:val="5FA21376"/>
    <w:rsid w:val="5FD513B4"/>
    <w:rsid w:val="602E7496"/>
    <w:rsid w:val="605C685C"/>
    <w:rsid w:val="60D85A40"/>
    <w:rsid w:val="60D92C10"/>
    <w:rsid w:val="60F85C95"/>
    <w:rsid w:val="610608E6"/>
    <w:rsid w:val="61163276"/>
    <w:rsid w:val="612348F6"/>
    <w:rsid w:val="613356AA"/>
    <w:rsid w:val="61D74FCE"/>
    <w:rsid w:val="62244D2D"/>
    <w:rsid w:val="62757094"/>
    <w:rsid w:val="62973E84"/>
    <w:rsid w:val="62A514DE"/>
    <w:rsid w:val="62BE7C1B"/>
    <w:rsid w:val="62EA2875"/>
    <w:rsid w:val="630D26ED"/>
    <w:rsid w:val="63156D9A"/>
    <w:rsid w:val="63213512"/>
    <w:rsid w:val="63516AD8"/>
    <w:rsid w:val="635321F9"/>
    <w:rsid w:val="63624E82"/>
    <w:rsid w:val="64B279C6"/>
    <w:rsid w:val="64B77DD9"/>
    <w:rsid w:val="64DA61F2"/>
    <w:rsid w:val="64E219C6"/>
    <w:rsid w:val="652F0DE7"/>
    <w:rsid w:val="657C0323"/>
    <w:rsid w:val="659A3252"/>
    <w:rsid w:val="6607320A"/>
    <w:rsid w:val="665B4076"/>
    <w:rsid w:val="671C3891"/>
    <w:rsid w:val="672E480E"/>
    <w:rsid w:val="67F500C6"/>
    <w:rsid w:val="68426149"/>
    <w:rsid w:val="687D0F1C"/>
    <w:rsid w:val="69115685"/>
    <w:rsid w:val="69232A11"/>
    <w:rsid w:val="696D1EDE"/>
    <w:rsid w:val="699C1CB4"/>
    <w:rsid w:val="699E3E55"/>
    <w:rsid w:val="69D236DB"/>
    <w:rsid w:val="6A1567A2"/>
    <w:rsid w:val="6A34700B"/>
    <w:rsid w:val="6A383B4F"/>
    <w:rsid w:val="6A881BC4"/>
    <w:rsid w:val="6B1D5C22"/>
    <w:rsid w:val="6B4216B7"/>
    <w:rsid w:val="6B990934"/>
    <w:rsid w:val="6BD13E17"/>
    <w:rsid w:val="6BD63D35"/>
    <w:rsid w:val="6BDF4F70"/>
    <w:rsid w:val="6C45643A"/>
    <w:rsid w:val="6C494665"/>
    <w:rsid w:val="6C6421C5"/>
    <w:rsid w:val="6C9934FE"/>
    <w:rsid w:val="6DA32372"/>
    <w:rsid w:val="6DBD039E"/>
    <w:rsid w:val="6E493106"/>
    <w:rsid w:val="6E4C296A"/>
    <w:rsid w:val="6ED645B3"/>
    <w:rsid w:val="6EF720D4"/>
    <w:rsid w:val="6EFF2097"/>
    <w:rsid w:val="6F7955F4"/>
    <w:rsid w:val="6F8138D5"/>
    <w:rsid w:val="6FA7509E"/>
    <w:rsid w:val="6FA943CE"/>
    <w:rsid w:val="6FB2399D"/>
    <w:rsid w:val="6FBA9B9B"/>
    <w:rsid w:val="6FC14B32"/>
    <w:rsid w:val="6FC52A74"/>
    <w:rsid w:val="6FE336F2"/>
    <w:rsid w:val="70432C06"/>
    <w:rsid w:val="709F0B7A"/>
    <w:rsid w:val="712D6722"/>
    <w:rsid w:val="715058B1"/>
    <w:rsid w:val="71511A8C"/>
    <w:rsid w:val="71721E0D"/>
    <w:rsid w:val="71ED1E0E"/>
    <w:rsid w:val="71F966C9"/>
    <w:rsid w:val="721B0BB0"/>
    <w:rsid w:val="72200435"/>
    <w:rsid w:val="727918F3"/>
    <w:rsid w:val="728A58AF"/>
    <w:rsid w:val="7379604E"/>
    <w:rsid w:val="73AE3E3E"/>
    <w:rsid w:val="73B52DB2"/>
    <w:rsid w:val="73E55BE1"/>
    <w:rsid w:val="745F7ADB"/>
    <w:rsid w:val="74E30D98"/>
    <w:rsid w:val="74FB3D31"/>
    <w:rsid w:val="750501D6"/>
    <w:rsid w:val="752C2A78"/>
    <w:rsid w:val="75C12412"/>
    <w:rsid w:val="75DD4471"/>
    <w:rsid w:val="760065B4"/>
    <w:rsid w:val="76406D08"/>
    <w:rsid w:val="76492878"/>
    <w:rsid w:val="76697649"/>
    <w:rsid w:val="76D44FD5"/>
    <w:rsid w:val="772967FA"/>
    <w:rsid w:val="772D3AF3"/>
    <w:rsid w:val="774661D0"/>
    <w:rsid w:val="774D54F1"/>
    <w:rsid w:val="77733156"/>
    <w:rsid w:val="7796460A"/>
    <w:rsid w:val="781C32B4"/>
    <w:rsid w:val="785D1EBF"/>
    <w:rsid w:val="786F0F5C"/>
    <w:rsid w:val="78C32226"/>
    <w:rsid w:val="790D2B37"/>
    <w:rsid w:val="794E1B3A"/>
    <w:rsid w:val="79C75F40"/>
    <w:rsid w:val="79DD6C0C"/>
    <w:rsid w:val="7A4805B8"/>
    <w:rsid w:val="7A796D36"/>
    <w:rsid w:val="7B013A9A"/>
    <w:rsid w:val="7B677E95"/>
    <w:rsid w:val="7B6F1D0D"/>
    <w:rsid w:val="7B835B9A"/>
    <w:rsid w:val="7BD400D4"/>
    <w:rsid w:val="7BDE019B"/>
    <w:rsid w:val="7BE6FDA1"/>
    <w:rsid w:val="7C055D07"/>
    <w:rsid w:val="7C4B1DF3"/>
    <w:rsid w:val="7C4E4F0A"/>
    <w:rsid w:val="7D021991"/>
    <w:rsid w:val="7D7E4898"/>
    <w:rsid w:val="7DB912C0"/>
    <w:rsid w:val="7DE351D1"/>
    <w:rsid w:val="7E007CA5"/>
    <w:rsid w:val="7E324E80"/>
    <w:rsid w:val="7E78398B"/>
    <w:rsid w:val="7E7C4D97"/>
    <w:rsid w:val="7ED47C49"/>
    <w:rsid w:val="7EF82E1F"/>
    <w:rsid w:val="7F100049"/>
    <w:rsid w:val="7F301A67"/>
    <w:rsid w:val="7F7E1B59"/>
    <w:rsid w:val="7F880762"/>
    <w:rsid w:val="7FC95AB4"/>
    <w:rsid w:val="B59FFA5C"/>
    <w:rsid w:val="BB79B313"/>
    <w:rsid w:val="DBFF83E2"/>
    <w:rsid w:val="DFF9A168"/>
    <w:rsid w:val="F72C79BB"/>
    <w:rsid w:val="F7E4E7D3"/>
    <w:rsid w:val="FDFBCF07"/>
    <w:rsid w:val="FFED2DFB"/>
    <w:rsid w:val="FFF7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Body Text Indent"/>
    <w:basedOn w:val="1"/>
    <w:autoRedefine/>
    <w:semiHidden/>
    <w:unhideWhenUsed/>
    <w:qFormat/>
    <w:uiPriority w:val="99"/>
    <w:pPr>
      <w:spacing w:after="120"/>
      <w:ind w:left="420" w:leftChars="200"/>
    </w:pPr>
  </w:style>
  <w:style w:type="paragraph" w:styleId="4">
    <w:name w:val="Date"/>
    <w:basedOn w:val="1"/>
    <w:next w:val="1"/>
    <w:link w:val="19"/>
    <w:autoRedefine/>
    <w:semiHidden/>
    <w:unhideWhenUsed/>
    <w:qFormat/>
    <w:uiPriority w:val="99"/>
    <w:pPr>
      <w:ind w:left="100" w:leftChars="2500"/>
    </w:pPr>
  </w:style>
  <w:style w:type="paragraph" w:styleId="5">
    <w:name w:val="Balloon Text"/>
    <w:basedOn w:val="1"/>
    <w:link w:val="22"/>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autoSpaceDE/>
      <w:autoSpaceDN/>
      <w:adjustRightInd/>
      <w:spacing w:before="100" w:beforeAutospacing="1" w:after="100" w:afterAutospacing="1"/>
    </w:pPr>
    <w:rPr>
      <w:rFonts w:hint="default" w:cs="宋体"/>
      <w:szCs w:val="24"/>
    </w:rPr>
  </w:style>
  <w:style w:type="paragraph" w:styleId="9">
    <w:name w:val="Title"/>
    <w:basedOn w:val="1"/>
    <w:next w:val="1"/>
    <w:link w:val="21"/>
    <w:autoRedefine/>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3"/>
    <w:next w:val="1"/>
    <w:autoRedefine/>
    <w:qFormat/>
    <w:uiPriority w:val="99"/>
    <w:pPr>
      <w:tabs>
        <w:tab w:val="left" w:pos="-1440"/>
      </w:tabs>
      <w:spacing w:after="0" w:line="360" w:lineRule="auto"/>
      <w:ind w:left="176" w:leftChars="0" w:firstLine="420" w:firstLineChars="200"/>
    </w:pPr>
    <w:rPr>
      <w:rFonts w:ascii="仿宋" w:hAnsi="Times New Roman" w:eastAsia="仿宋"/>
    </w:rPr>
  </w:style>
  <w:style w:type="character" w:styleId="13">
    <w:name w:val="Strong"/>
    <w:basedOn w:val="12"/>
    <w:autoRedefine/>
    <w:qFormat/>
    <w:uiPriority w:val="22"/>
    <w:rPr>
      <w:rFonts w:cs="Times New Roman"/>
      <w:b/>
      <w:bCs/>
    </w:rPr>
  </w:style>
  <w:style w:type="character" w:styleId="14">
    <w:name w:val="page number"/>
    <w:autoRedefine/>
    <w:qFormat/>
    <w:uiPriority w:val="0"/>
  </w:style>
  <w:style w:type="character" w:styleId="15">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paragraph" w:styleId="18">
    <w:name w:val="List Paragraph"/>
    <w:basedOn w:val="1"/>
    <w:autoRedefine/>
    <w:qFormat/>
    <w:uiPriority w:val="34"/>
    <w:pPr>
      <w:widowControl/>
      <w:autoSpaceDE/>
      <w:autoSpaceDN/>
      <w:adjustRightInd/>
      <w:ind w:firstLine="420" w:firstLineChars="200"/>
    </w:pPr>
    <w:rPr>
      <w:rFonts w:hint="default" w:cs="宋体"/>
      <w:szCs w:val="24"/>
    </w:rPr>
  </w:style>
  <w:style w:type="character" w:customStyle="1" w:styleId="19">
    <w:name w:val="日期 字符"/>
    <w:basedOn w:val="12"/>
    <w:link w:val="4"/>
    <w:autoRedefine/>
    <w:semiHidden/>
    <w:qFormat/>
    <w:uiPriority w:val="99"/>
    <w:rPr>
      <w:rFonts w:ascii="宋体" w:hAnsi="宋体" w:eastAsia="宋体" w:cs="Times New Roman"/>
      <w:kern w:val="0"/>
      <w:sz w:val="24"/>
      <w:szCs w:val="20"/>
    </w:rPr>
  </w:style>
  <w:style w:type="paragraph" w:customStyle="1" w:styleId="20">
    <w:name w:val="列出段落1"/>
    <w:basedOn w:val="1"/>
    <w:autoRedefine/>
    <w:qFormat/>
    <w:uiPriority w:val="99"/>
    <w:pPr>
      <w:ind w:firstLine="420" w:firstLineChars="200"/>
    </w:pPr>
    <w:rPr>
      <w:szCs w:val="22"/>
    </w:rPr>
  </w:style>
  <w:style w:type="character" w:customStyle="1" w:styleId="21">
    <w:name w:val="标题 字符"/>
    <w:basedOn w:val="12"/>
    <w:link w:val="9"/>
    <w:autoRedefine/>
    <w:qFormat/>
    <w:uiPriority w:val="10"/>
    <w:rPr>
      <w:rFonts w:asciiTheme="majorHAnsi" w:hAnsiTheme="majorHAnsi" w:cstheme="majorBidi"/>
      <w:b/>
      <w:bCs/>
      <w:sz w:val="32"/>
      <w:szCs w:val="32"/>
    </w:rPr>
  </w:style>
  <w:style w:type="character" w:customStyle="1" w:styleId="22">
    <w:name w:val="批注框文本 字符"/>
    <w:basedOn w:val="12"/>
    <w:link w:val="5"/>
    <w:autoRedefine/>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720</Words>
  <Characters>4109</Characters>
  <Lines>34</Lines>
  <Paragraphs>9</Paragraphs>
  <TotalTime>2</TotalTime>
  <ScaleCrop>false</ScaleCrop>
  <LinksUpToDate>false</LinksUpToDate>
  <CharactersWithSpaces>4820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2024-01-11T02:00:00Z</dcterms:created>
  <dc:creator>微软用户</dc:creator>
  <cp:lastModifiedBy>聂红军</cp:lastModifiedBy>
  <cp:lastPrinted>2021-05-13T01:37:00Z</cp:lastPrinted>
  <dcterms:modified xsi:type="dcterms:W3CDTF">2024-03-25T08:04:34Z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49AE98EF85D7481E90181A69440B120C_13</vt:lpwstr>
  </property>
</Properties>
</file>