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color w:val="FF0000"/>
          <w:spacing w:val="-57"/>
          <w:sz w:val="72"/>
          <w:szCs w:val="72"/>
        </w:rPr>
      </w:pPr>
      <w:r>
        <w:rPr>
          <w:b/>
          <w:bCs/>
          <w:color w:val="FF0000"/>
          <w:spacing w:val="-57"/>
          <w:sz w:val="72"/>
          <w:szCs w:val="72"/>
        </w:rPr>
        <w:t>北京建术信息科技研究院有限公司</w:t>
      </w:r>
    </w:p>
    <w:p>
      <w:pPr>
        <w:jc w:val="center"/>
        <w:rPr>
          <w:rFonts w:ascii="仿宋" w:hAnsi="仿宋" w:eastAsia="仿宋"/>
          <w:b/>
          <w:sz w:val="28"/>
          <w:szCs w:val="28"/>
        </w:rPr>
      </w:pPr>
      <w:r>
        <w:rPr>
          <w:rFonts w:hint="eastAsia" w:ascii="仿宋" w:hAnsi="仿宋" w:eastAsia="仿宋" w:cs="仿宋"/>
          <w:sz w:val="28"/>
        </w:rPr>
        <mc:AlternateContent>
          <mc:Choice Requires="wps">
            <w:drawing>
              <wp:anchor distT="0" distB="0" distL="114300" distR="114300" simplePos="0" relativeHeight="251659264" behindDoc="0" locked="0" layoutInCell="1" allowOverlap="1">
                <wp:simplePos x="0" y="0"/>
                <wp:positionH relativeFrom="column">
                  <wp:posOffset>-175895</wp:posOffset>
                </wp:positionH>
                <wp:positionV relativeFrom="paragraph">
                  <wp:posOffset>377190</wp:posOffset>
                </wp:positionV>
                <wp:extent cx="6061710" cy="0"/>
                <wp:effectExtent l="0" t="9525" r="8890" b="15875"/>
                <wp:wrapNone/>
                <wp:docPr id="1" name="直接连接符 1"/>
                <wp:cNvGraphicFramePr/>
                <a:graphic xmlns:a="http://schemas.openxmlformats.org/drawingml/2006/main">
                  <a:graphicData uri="http://schemas.microsoft.com/office/word/2010/wordprocessingShape">
                    <wps:wsp>
                      <wps:cNvCnPr/>
                      <wps:spPr>
                        <a:xfrm>
                          <a:off x="1121410" y="1794510"/>
                          <a:ext cx="6061710" cy="0"/>
                        </a:xfrm>
                        <a:prstGeom prst="line">
                          <a:avLst/>
                        </a:prstGeom>
                        <a:ln w="19050">
                          <a:solidFill>
                            <a:srgbClr val="FF0000"/>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3.85pt;margin-top:29.7pt;height:0pt;width:477.3pt;z-index:251659264;mso-width-relative:page;mso-height-relative:page;" filled="f" stroked="t" coordsize="21600,21600" o:gfxdata="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XGlKmdYAAAAJAQAADwAAAAAAAAABACAAAAAiAAAAZHJzL2Rvd25yZXYueG1sUEsBAhQAFAAA&#10;AAgAh07iQIas+7/xAQAAvgMAAA4AAAAAAAAAAQAgAAAAJQEAAGRycy9lMm9Eb2MueG1sUEsFBgAA&#10;AAAGAAYAWQEAAIgFAAAAAA==&#10;">
                <v:fill on="f" focussize="0,0"/>
                <v:stroke weight="1.5pt" color="#FF0000 [3204]" miterlimit="8" joinstyle="miter"/>
                <v:imagedata o:title=""/>
                <o:lock v:ext="edit" aspectratio="f"/>
              </v:line>
            </w:pict>
          </mc:Fallback>
        </mc:AlternateContent>
      </w:r>
      <w:r>
        <w:rPr>
          <w:rFonts w:hint="eastAsia" w:ascii="仿宋" w:hAnsi="仿宋" w:eastAsia="仿宋" w:cs="仿宋"/>
          <w:sz w:val="28"/>
          <w:szCs w:val="28"/>
        </w:rPr>
        <w:t>建术信息202</w:t>
      </w:r>
      <w:r>
        <w:rPr>
          <w:rFonts w:hint="eastAsia" w:ascii="仿宋" w:hAnsi="仿宋" w:eastAsia="仿宋" w:cs="仿宋"/>
          <w:sz w:val="28"/>
          <w:szCs w:val="28"/>
          <w:lang w:val="en-US" w:eastAsia="zh-CN"/>
        </w:rPr>
        <w:t>4</w:t>
      </w:r>
      <w:r>
        <w:rPr>
          <w:rFonts w:hint="eastAsia" w:ascii="仿宋" w:hAnsi="仿宋" w:eastAsia="仿宋" w:cs="仿宋"/>
          <w:sz w:val="28"/>
          <w:szCs w:val="28"/>
        </w:rPr>
        <w:t>【</w:t>
      </w:r>
      <w:r>
        <w:rPr>
          <w:rFonts w:hint="eastAsia" w:ascii="仿宋" w:hAnsi="仿宋" w:eastAsia="仿宋" w:cs="仿宋"/>
          <w:sz w:val="28"/>
          <w:szCs w:val="28"/>
          <w:lang w:val="en-US" w:eastAsia="zh-CN"/>
        </w:rPr>
        <w:t>18</w:t>
      </w:r>
      <w:r>
        <w:rPr>
          <w:rFonts w:hint="eastAsia" w:ascii="仿宋" w:hAnsi="仿宋" w:eastAsia="仿宋" w:cs="仿宋"/>
          <w:sz w:val="28"/>
          <w:szCs w:val="28"/>
        </w:rPr>
        <w:t>】号</w:t>
      </w:r>
    </w:p>
    <w:p/>
    <w:p>
      <w:pPr>
        <w:spacing w:before="101" w:line="226" w:lineRule="auto"/>
        <w:ind w:left="1219"/>
        <w:outlineLvl w:val="0"/>
        <w:rPr>
          <w:rFonts w:ascii="黑体" w:hAnsi="黑体" w:eastAsia="黑体" w:cs="黑体"/>
          <w:sz w:val="31"/>
          <w:szCs w:val="31"/>
        </w:rPr>
      </w:pPr>
      <w:r>
        <w:rPr>
          <w:rFonts w:ascii="黑体" w:hAnsi="黑体" w:eastAsia="黑体" w:cs="黑体"/>
          <w:spacing w:val="8"/>
          <w:sz w:val="31"/>
          <w:szCs w:val="31"/>
        </w:rPr>
        <w:t>关于举办“建设工程合同关键风险管控实务</w:t>
      </w:r>
    </w:p>
    <w:p>
      <w:pPr>
        <w:spacing w:line="269" w:lineRule="auto"/>
        <w:rPr>
          <w:rFonts w:ascii="Arial"/>
          <w:sz w:val="21"/>
        </w:rPr>
      </w:pPr>
    </w:p>
    <w:p>
      <w:pPr>
        <w:spacing w:before="101" w:line="226" w:lineRule="auto"/>
        <w:ind w:left="254"/>
        <w:rPr>
          <w:rFonts w:ascii="黑体" w:hAnsi="黑体" w:eastAsia="黑体" w:cs="黑体"/>
          <w:sz w:val="31"/>
          <w:szCs w:val="31"/>
        </w:rPr>
      </w:pPr>
      <w:r>
        <w:rPr>
          <w:rFonts w:ascii="黑体" w:hAnsi="黑体" w:eastAsia="黑体" w:cs="黑体"/>
          <w:spacing w:val="9"/>
          <w:sz w:val="31"/>
          <w:szCs w:val="31"/>
        </w:rPr>
        <w:t>暨工程造价管理疑难问题与典型案例解析培训班”的通知</w:t>
      </w:r>
    </w:p>
    <w:p>
      <w:pPr>
        <w:pStyle w:val="4"/>
        <w:spacing w:before="252" w:line="221" w:lineRule="auto"/>
        <w:ind w:left="97"/>
      </w:pPr>
      <w:r>
        <w:rPr>
          <w:spacing w:val="-3"/>
          <w14:textOutline w14:w="4358" w14:cap="sq" w14:cmpd="sng">
            <w14:solidFill>
              <w14:srgbClr w14:val="000000"/>
            </w14:solidFill>
            <w14:prstDash w14:val="solid"/>
            <w14:bevel/>
          </w14:textOutline>
        </w:rPr>
        <w:t>各有关单位：</w:t>
      </w:r>
    </w:p>
    <w:p>
      <w:pPr>
        <w:pStyle w:val="4"/>
        <w:spacing w:before="115" w:line="290" w:lineRule="auto"/>
        <w:ind w:left="97" w:right="612" w:firstLine="479"/>
        <w:jc w:val="both"/>
      </w:pPr>
      <w:r>
        <w:rPr>
          <w:spacing w:val="-3"/>
        </w:rPr>
        <w:t>建设工程合同纠纷很多与工程造价相关。为从源</w:t>
      </w:r>
      <w:r>
        <w:rPr>
          <w:spacing w:val="-4"/>
        </w:rPr>
        <w:t>头上防范和化解工程合同纠</w:t>
      </w:r>
      <w:r>
        <w:t xml:space="preserve"> </w:t>
      </w:r>
      <w:r>
        <w:rPr>
          <w:spacing w:val="-8"/>
        </w:rPr>
        <w:t>纷，提升工程项目投资、造价、工程管理、合同管理等相关从业人员的业务水平，</w:t>
      </w:r>
      <w:r>
        <w:rPr>
          <w:spacing w:val="1"/>
        </w:rPr>
        <w:t xml:space="preserve"> </w:t>
      </w:r>
      <w:r>
        <w:rPr>
          <w:spacing w:val="-3"/>
        </w:rPr>
        <w:t>准确把握招投标、工程结算、工程审计、财政评审、清欠等项目</w:t>
      </w:r>
      <w:r>
        <w:rPr>
          <w:spacing w:val="-4"/>
        </w:rPr>
        <w:t>管理与造价管理</w:t>
      </w:r>
      <w:r>
        <w:t xml:space="preserve"> </w:t>
      </w:r>
      <w:r>
        <w:rPr>
          <w:spacing w:val="-3"/>
        </w:rPr>
        <w:t>要点，我单位定于近期组织开展建设工程合同关键风险管控实务</w:t>
      </w:r>
      <w:r>
        <w:rPr>
          <w:spacing w:val="-4"/>
        </w:rPr>
        <w:t>暨工程造价管理</w:t>
      </w:r>
      <w:r>
        <w:t xml:space="preserve"> </w:t>
      </w:r>
      <w:r>
        <w:rPr>
          <w:spacing w:val="-1"/>
        </w:rPr>
        <w:t>疑难问题与典型案例解析培训，现将有关事项通知如下：</w:t>
      </w:r>
    </w:p>
    <w:p>
      <w:pPr>
        <w:pStyle w:val="4"/>
        <w:spacing w:before="112" w:line="221" w:lineRule="auto"/>
        <w:ind w:left="100"/>
      </w:pPr>
      <w:r>
        <w:rPr>
          <w:spacing w:val="-3"/>
          <w14:textOutline w14:w="4358" w14:cap="sq" w14:cmpd="sng">
            <w14:solidFill>
              <w14:srgbClr w14:val="000000"/>
            </w14:solidFill>
            <w14:prstDash w14:val="solid"/>
            <w14:bevel/>
          </w14:textOutline>
        </w:rPr>
        <w:t>一、主办单位</w:t>
      </w:r>
    </w:p>
    <w:p>
      <w:pPr>
        <w:pStyle w:val="4"/>
        <w:spacing w:before="113" w:line="222" w:lineRule="auto"/>
        <w:ind w:left="583"/>
        <w:rPr>
          <w:rFonts w:hint="default" w:eastAsia="仿宋"/>
          <w:lang w:val="en-US" w:eastAsia="zh-CN"/>
        </w:rPr>
      </w:pPr>
      <w:r>
        <w:rPr>
          <w:spacing w:val="-2"/>
        </w:rPr>
        <w:t>北京</w:t>
      </w:r>
      <w:r>
        <w:rPr>
          <w:rFonts w:hint="eastAsia"/>
          <w:spacing w:val="-2"/>
          <w:lang w:val="en-US" w:eastAsia="zh-CN"/>
        </w:rPr>
        <w:t>建术信息科技研究院有限公司</w:t>
      </w:r>
    </w:p>
    <w:p>
      <w:pPr>
        <w:pStyle w:val="4"/>
        <w:spacing w:before="112" w:line="223" w:lineRule="auto"/>
        <w:ind w:left="104"/>
      </w:pPr>
      <w:r>
        <w:rPr>
          <w:spacing w:val="-4"/>
          <w14:textOutline w14:w="4358" w14:cap="sq" w14:cmpd="sng">
            <w14:solidFill>
              <w14:srgbClr w14:val="000000"/>
            </w14:solidFill>
            <w14:prstDash w14:val="solid"/>
            <w14:bevel/>
          </w14:textOutline>
        </w:rPr>
        <w:t>二、培训对象</w:t>
      </w:r>
    </w:p>
    <w:p>
      <w:pPr>
        <w:pStyle w:val="4"/>
        <w:spacing w:before="108" w:line="286" w:lineRule="auto"/>
        <w:ind w:left="96" w:right="677" w:firstLine="480"/>
        <w:jc w:val="both"/>
      </w:pPr>
      <w:r>
        <w:rPr>
          <w:spacing w:val="-3"/>
        </w:rPr>
        <w:t>建设单位（城投公司、开发公司、企事业单</w:t>
      </w:r>
      <w:r>
        <w:rPr>
          <w:spacing w:val="-4"/>
        </w:rPr>
        <w:t>位基建处等）、施工企业、工程</w:t>
      </w:r>
      <w:r>
        <w:t xml:space="preserve"> </w:t>
      </w:r>
      <w:r>
        <w:rPr>
          <w:spacing w:val="-3"/>
        </w:rPr>
        <w:t>咨询企业从事项目投资（立项）、投资管控、概预算、法务合</w:t>
      </w:r>
      <w:r>
        <w:rPr>
          <w:spacing w:val="-4"/>
        </w:rPr>
        <w:t>约、项目管理、企</w:t>
      </w:r>
      <w:r>
        <w:t xml:space="preserve"> </w:t>
      </w:r>
      <w:r>
        <w:rPr>
          <w:spacing w:val="-3"/>
        </w:rPr>
        <w:t>业管理、工程财务、工程审计等工作的人员；高等院校从事工程管理</w:t>
      </w:r>
      <w:r>
        <w:rPr>
          <w:spacing w:val="-4"/>
        </w:rPr>
        <w:t>、工程造价</w:t>
      </w:r>
      <w:r>
        <w:t xml:space="preserve"> </w:t>
      </w:r>
      <w:r>
        <w:rPr>
          <w:spacing w:val="-1"/>
        </w:rPr>
        <w:t>教学与研究的专业人员；发改、建设、财政等行政主管部门的相关人员。</w:t>
      </w:r>
    </w:p>
    <w:p>
      <w:pPr>
        <w:pStyle w:val="4"/>
        <w:spacing w:before="114" w:line="222" w:lineRule="auto"/>
        <w:ind w:left="103"/>
      </w:pPr>
      <w:r>
        <w:rPr>
          <w:spacing w:val="-3"/>
          <w14:textOutline w14:w="4358" w14:cap="sq" w14:cmpd="sng">
            <w14:solidFill>
              <w14:srgbClr w14:val="000000"/>
            </w14:solidFill>
            <w14:prstDash w14:val="solid"/>
            <w14:bevel/>
          </w14:textOutline>
        </w:rPr>
        <w:t>三、主要内容</w:t>
      </w:r>
    </w:p>
    <w:p>
      <w:pPr>
        <w:pStyle w:val="4"/>
        <w:spacing w:before="114" w:line="286" w:lineRule="auto"/>
        <w:ind w:left="101" w:right="547" w:firstLine="485"/>
        <w:jc w:val="both"/>
      </w:pPr>
      <w:r>
        <w:rPr>
          <w:spacing w:val="4"/>
          <w14:textOutline w14:w="4358" w14:cap="sq" w14:cmpd="sng">
            <w14:solidFill>
              <w14:srgbClr w14:val="000000"/>
            </w14:solidFill>
            <w14:prstDash w14:val="solid"/>
            <w14:bevel/>
          </w14:textOutline>
        </w:rPr>
        <w:t>第一部分：结合最高人民法院关于适用《中华人民共和国民法典》合同编</w:t>
      </w:r>
      <w:r>
        <w:rPr>
          <w:spacing w:val="4"/>
        </w:rPr>
        <w:t xml:space="preserve"> </w:t>
      </w:r>
      <w:r>
        <w:rPr>
          <w:spacing w:val="-14"/>
          <w14:textOutline w14:w="4358" w14:cap="sq" w14:cmpd="sng">
            <w14:solidFill>
              <w14:srgbClr w14:val="000000"/>
            </w14:solidFill>
            <w14:prstDash w14:val="solid"/>
            <w14:bevel/>
          </w14:textOutline>
        </w:rPr>
        <w:t>通则若干问题的解释（法释〔</w:t>
      </w:r>
      <w:r>
        <w:rPr>
          <w:rFonts w:ascii="Times New Roman" w:hAnsi="Times New Roman" w:eastAsia="Times New Roman" w:cs="Times New Roman"/>
          <w:b/>
          <w:bCs/>
          <w:spacing w:val="-14"/>
        </w:rPr>
        <w:t>2023</w:t>
      </w:r>
      <w:r>
        <w:rPr>
          <w:spacing w:val="-14"/>
          <w14:textOutline w14:w="4358" w14:cap="sq" w14:cmpd="sng">
            <w14:solidFill>
              <w14:srgbClr w14:val="000000"/>
            </w14:solidFill>
            <w14:prstDash w14:val="solid"/>
            <w14:bevel/>
          </w14:textOutline>
        </w:rPr>
        <w:t>〕</w:t>
      </w:r>
      <w:r>
        <w:rPr>
          <w:rFonts w:ascii="Times New Roman" w:hAnsi="Times New Roman" w:eastAsia="Times New Roman" w:cs="Times New Roman"/>
          <w:b/>
          <w:bCs/>
          <w:spacing w:val="-14"/>
        </w:rPr>
        <w:t>13</w:t>
      </w:r>
      <w:r>
        <w:rPr>
          <w:rFonts w:ascii="Times New Roman" w:hAnsi="Times New Roman" w:eastAsia="Times New Roman" w:cs="Times New Roman"/>
          <w:b/>
          <w:bCs/>
          <w:spacing w:val="34"/>
        </w:rPr>
        <w:t xml:space="preserve"> </w:t>
      </w:r>
      <w:r>
        <w:rPr>
          <w:spacing w:val="-14"/>
          <w14:textOutline w14:w="4358" w14:cap="sq" w14:cmpd="sng">
            <w14:solidFill>
              <w14:srgbClr w14:val="000000"/>
            </w14:solidFill>
            <w14:prstDash w14:val="solid"/>
            <w14:bevel/>
          </w14:textOutline>
        </w:rPr>
        <w:t>号）、《建设工程施工合同司法解释（一）》</w:t>
      </w:r>
      <w:r>
        <w:t xml:space="preserve"> </w:t>
      </w:r>
      <w:r>
        <w:rPr>
          <w:spacing w:val="4"/>
          <w14:textOutline w14:w="4358" w14:cap="sq" w14:cmpd="sng">
            <w14:solidFill>
              <w14:srgbClr w14:val="000000"/>
            </w14:solidFill>
            <w14:prstDash w14:val="solid"/>
            <w14:bevel/>
          </w14:textOutline>
        </w:rPr>
        <w:t>的规定和工程合同纠纷典型案例，系统梳理建设工程合同法律实务中的关键风</w:t>
      </w:r>
      <w:r>
        <w:rPr>
          <w:spacing w:val="4"/>
        </w:rPr>
        <w:t xml:space="preserve"> </w:t>
      </w:r>
      <w:r>
        <w:rPr>
          <w:spacing w:val="-2"/>
          <w14:textOutline w14:w="4358" w14:cap="sq" w14:cmpd="sng">
            <w14:solidFill>
              <w14:srgbClr w14:val="000000"/>
            </w14:solidFill>
            <w14:prstDash w14:val="solid"/>
            <w14:bevel/>
          </w14:textOutline>
        </w:rPr>
        <w:t>险点与核心内容。</w:t>
      </w:r>
    </w:p>
    <w:p>
      <w:pPr>
        <w:pStyle w:val="4"/>
        <w:spacing w:before="110" w:line="222" w:lineRule="auto"/>
        <w:ind w:left="581"/>
      </w:pPr>
      <w:r>
        <w:rPr>
          <w:spacing w:val="-1"/>
          <w14:textOutline w14:w="4358" w14:cap="sq" w14:cmpd="sng">
            <w14:solidFill>
              <w14:srgbClr w14:val="000000"/>
            </w14:solidFill>
            <w14:prstDash w14:val="solid"/>
            <w14:bevel/>
          </w14:textOutline>
        </w:rPr>
        <w:t>（一）建设工程合同的主要特点和管理要求</w:t>
      </w:r>
    </w:p>
    <w:p>
      <w:pPr>
        <w:pStyle w:val="4"/>
        <w:spacing w:before="112" w:line="400" w:lineRule="exact"/>
        <w:ind w:left="589"/>
      </w:pPr>
      <w:r>
        <w:rPr>
          <w:rFonts w:ascii="Times New Roman" w:hAnsi="Times New Roman" w:eastAsia="Times New Roman" w:cs="Times New Roman"/>
          <w:spacing w:val="-3"/>
          <w:position w:val="11"/>
        </w:rPr>
        <w:t>1.</w:t>
      </w:r>
      <w:r>
        <w:rPr>
          <w:spacing w:val="-3"/>
          <w:position w:val="11"/>
        </w:rPr>
        <w:t>建设工程合同的主要特点；</w:t>
      </w:r>
    </w:p>
    <w:p>
      <w:pPr>
        <w:pStyle w:val="4"/>
        <w:spacing w:before="1" w:line="222" w:lineRule="auto"/>
        <w:ind w:left="566"/>
      </w:pPr>
      <w:r>
        <w:rPr>
          <w:rFonts w:ascii="Times New Roman" w:hAnsi="Times New Roman" w:eastAsia="Times New Roman" w:cs="Times New Roman"/>
          <w:spacing w:val="-1"/>
        </w:rPr>
        <w:t>2.</w:t>
      </w:r>
      <w:r>
        <w:rPr>
          <w:spacing w:val="-1"/>
        </w:rPr>
        <w:t>建设工程合同的管理要求。</w:t>
      </w:r>
    </w:p>
    <w:p>
      <w:pPr>
        <w:pStyle w:val="4"/>
        <w:spacing w:before="109" w:line="222" w:lineRule="auto"/>
        <w:ind w:left="581"/>
      </w:pPr>
      <w:r>
        <w:rPr>
          <w14:textOutline w14:w="4358" w14:cap="sq" w14:cmpd="sng">
            <w14:solidFill>
              <w14:srgbClr w14:val="000000"/>
            </w14:solidFill>
            <w14:prstDash w14:val="solid"/>
            <w14:bevel/>
          </w14:textOutline>
        </w:rPr>
        <w:t>（二）工程合同签订前期的关键风险点与纠</w:t>
      </w:r>
      <w:r>
        <w:rPr>
          <w:spacing w:val="-1"/>
          <w14:textOutline w14:w="4358" w14:cap="sq" w14:cmpd="sng">
            <w14:solidFill>
              <w14:srgbClr w14:val="000000"/>
            </w14:solidFill>
            <w14:prstDash w14:val="solid"/>
            <w14:bevel/>
          </w14:textOutline>
        </w:rPr>
        <w:t>纷解决</w:t>
      </w:r>
    </w:p>
    <w:p>
      <w:pPr>
        <w:pStyle w:val="4"/>
        <w:spacing w:before="111" w:line="249" w:lineRule="auto"/>
        <w:ind w:left="96" w:right="627" w:firstLine="492"/>
      </w:pPr>
      <w:r>
        <w:rPr>
          <w:rFonts w:ascii="Times New Roman" w:hAnsi="Times New Roman" w:eastAsia="Times New Roman" w:cs="Times New Roman"/>
          <w:spacing w:val="-2"/>
        </w:rPr>
        <w:t>1.</w:t>
      </w:r>
      <w:r>
        <w:rPr>
          <w:spacing w:val="-2"/>
        </w:rPr>
        <w:t>工程合同签订前关键风险点的识别、风险预测和风险分析，涉及工程项目</w:t>
      </w:r>
      <w:r>
        <w:rPr>
          <w:spacing w:val="5"/>
        </w:rPr>
        <w:t xml:space="preserve"> </w:t>
      </w:r>
      <w:r>
        <w:rPr>
          <w:spacing w:val="-2"/>
        </w:rPr>
        <w:t>和强制招标范围的确定、招标方式的选择、投标人的限制、招投标前签订合同、</w:t>
      </w:r>
      <w:r>
        <w:rPr>
          <w:spacing w:val="-4"/>
        </w:rPr>
        <w:t>中标后拒绝签订合同的后果等；</w:t>
      </w:r>
    </w:p>
    <w:p>
      <w:pPr>
        <w:pStyle w:val="4"/>
        <w:spacing w:before="111" w:line="222" w:lineRule="auto"/>
        <w:ind w:left="499"/>
      </w:pPr>
      <w:r>
        <w:rPr>
          <w:rFonts w:ascii="Times New Roman" w:hAnsi="Times New Roman" w:eastAsia="Times New Roman" w:cs="Times New Roman"/>
        </w:rPr>
        <w:t>2.</w:t>
      </w:r>
      <w:r>
        <w:t>工程合同签订前期产生的法律纠纷的典型案</w:t>
      </w:r>
      <w:r>
        <w:rPr>
          <w:spacing w:val="-1"/>
        </w:rPr>
        <w:t>例与解决实务。</w:t>
      </w:r>
    </w:p>
    <w:p>
      <w:pPr>
        <w:pStyle w:val="4"/>
        <w:spacing w:before="112" w:line="222" w:lineRule="auto"/>
        <w:ind w:left="514"/>
      </w:pPr>
      <w:r>
        <w:rPr>
          <w14:textOutline w14:w="4358" w14:cap="sq" w14:cmpd="sng">
            <w14:solidFill>
              <w14:srgbClr w14:val="000000"/>
            </w14:solidFill>
            <w14:prstDash w14:val="solid"/>
            <w14:bevel/>
          </w14:textOutline>
        </w:rPr>
        <w:t>（三）工程总承包和施工总承包合同签订过程中的关键风险点与纠纷解决</w:t>
      </w:r>
    </w:p>
    <w:p>
      <w:pPr>
        <w:pStyle w:val="4"/>
        <w:spacing w:before="110" w:line="279" w:lineRule="auto"/>
        <w:ind w:left="35" w:right="28" w:firstLine="486"/>
        <w:jc w:val="both"/>
      </w:pPr>
      <w:r>
        <w:rPr>
          <w:rFonts w:ascii="Times New Roman" w:hAnsi="Times New Roman" w:eastAsia="Times New Roman" w:cs="Times New Roman"/>
          <w:spacing w:val="-2"/>
        </w:rPr>
        <w:t>1.</w:t>
      </w:r>
      <w:r>
        <w:rPr>
          <w:spacing w:val="-2"/>
        </w:rPr>
        <w:t>工程合同签订过程中的关键风险点的识别、风险预测和风险分析，涉及黑</w:t>
      </w:r>
      <w:r>
        <w:rPr>
          <w:spacing w:val="5"/>
        </w:rPr>
        <w:t xml:space="preserve"> </w:t>
      </w:r>
      <w:r>
        <w:rPr>
          <w:spacing w:val="-2"/>
        </w:rPr>
        <w:t>白合同、工程质量标准、价款确定方式、索赔期间、工程量清单错漏风险承担、</w:t>
      </w:r>
      <w:r>
        <w:rPr>
          <w:spacing w:val="3"/>
        </w:rPr>
        <w:t xml:space="preserve"> </w:t>
      </w:r>
      <w:r>
        <w:rPr>
          <w:spacing w:val="-2"/>
        </w:rPr>
        <w:t>质保金的返还、工程结算、审计条款等；</w:t>
      </w:r>
    </w:p>
    <w:p>
      <w:pPr>
        <w:pStyle w:val="4"/>
        <w:spacing w:before="111" w:line="222" w:lineRule="auto"/>
        <w:ind w:left="499"/>
      </w:pPr>
      <w:r>
        <w:rPr>
          <w:rFonts w:ascii="Times New Roman" w:hAnsi="Times New Roman" w:eastAsia="Times New Roman" w:cs="Times New Roman"/>
        </w:rPr>
        <w:t>2.</w:t>
      </w:r>
      <w:r>
        <w:t>工程总承包合同的特点、资质要求、变更的</w:t>
      </w:r>
      <w:r>
        <w:rPr>
          <w:spacing w:val="-1"/>
        </w:rPr>
        <w:t>认定和处理等；</w:t>
      </w:r>
    </w:p>
    <w:p>
      <w:pPr>
        <w:pStyle w:val="4"/>
        <w:spacing w:before="111" w:line="222" w:lineRule="auto"/>
        <w:ind w:left="503"/>
      </w:pPr>
      <w:r>
        <w:rPr>
          <w:rFonts w:ascii="Times New Roman" w:hAnsi="Times New Roman" w:eastAsia="Times New Roman" w:cs="Times New Roman"/>
          <w:spacing w:val="-1"/>
        </w:rPr>
        <w:t>3.</w:t>
      </w:r>
      <w:r>
        <w:rPr>
          <w:spacing w:val="-1"/>
        </w:rPr>
        <w:t>工程合同签订过程中产生的法律纠纷的典型案例与解决实务。</w:t>
      </w:r>
    </w:p>
    <w:p>
      <w:pPr>
        <w:pStyle w:val="4"/>
        <w:spacing w:before="113" w:line="221" w:lineRule="auto"/>
        <w:ind w:left="514"/>
      </w:pPr>
      <w:r>
        <w:rPr>
          <w14:textOutline w14:w="4358" w14:cap="sq" w14:cmpd="sng">
            <w14:solidFill>
              <w14:srgbClr w14:val="000000"/>
            </w14:solidFill>
            <w14:prstDash w14:val="solid"/>
            <w14:bevel/>
          </w14:textOutline>
        </w:rPr>
        <w:t>（四）工程总承包和施工总承包合同履行阶段的关键风险点与纠纷解决</w:t>
      </w:r>
    </w:p>
    <w:p>
      <w:pPr>
        <w:pStyle w:val="4"/>
        <w:spacing w:before="111" w:line="286" w:lineRule="auto"/>
        <w:ind w:left="31" w:firstLine="490"/>
        <w:jc w:val="both"/>
      </w:pPr>
      <w:r>
        <w:rPr>
          <w:rFonts w:ascii="Times New Roman" w:hAnsi="Times New Roman" w:eastAsia="Times New Roman" w:cs="Times New Roman"/>
          <w:spacing w:val="-6"/>
        </w:rPr>
        <w:t>1.</w:t>
      </w:r>
      <w:r>
        <w:rPr>
          <w:spacing w:val="-6"/>
        </w:rPr>
        <w:t>工程合同履行阶段的关键风险点的识别、风</w:t>
      </w:r>
      <w:r>
        <w:rPr>
          <w:spacing w:val="-7"/>
        </w:rPr>
        <w:t>险预测和风险分析，涉及挂靠、</w:t>
      </w:r>
      <w:r>
        <w:t xml:space="preserve"> </w:t>
      </w:r>
      <w:r>
        <w:rPr>
          <w:spacing w:val="-4"/>
        </w:rPr>
        <w:t xml:space="preserve">违法分包、扩大劳务分包、实际施工人的权利义务、项目经理的权限管理、表见 </w:t>
      </w:r>
      <w:r>
        <w:rPr>
          <w:spacing w:val="-8"/>
        </w:rPr>
        <w:t>代理的认定、工程签证管理、履行抗辩权的正确行使（发票的出具、资料的提交、</w:t>
      </w:r>
      <w:r>
        <w:rPr>
          <w:spacing w:val="14"/>
        </w:rPr>
        <w:t xml:space="preserve"> </w:t>
      </w:r>
      <w:r>
        <w:rPr>
          <w:spacing w:val="-6"/>
        </w:rPr>
        <w:t>工程的移交）、竣工验收、工程保修、优先受偿权等；</w:t>
      </w:r>
    </w:p>
    <w:p>
      <w:pPr>
        <w:pStyle w:val="4"/>
        <w:spacing w:before="113" w:line="221" w:lineRule="auto"/>
        <w:ind w:left="499"/>
      </w:pPr>
      <w:r>
        <w:rPr>
          <w:rFonts w:ascii="Times New Roman" w:hAnsi="Times New Roman" w:eastAsia="Times New Roman" w:cs="Times New Roman"/>
        </w:rPr>
        <w:t>2.</w:t>
      </w:r>
      <w:r>
        <w:t>工程合同履行阶段产生的法律纠纷的典型案</w:t>
      </w:r>
      <w:r>
        <w:rPr>
          <w:spacing w:val="-1"/>
        </w:rPr>
        <w:t>例与解决实务。</w:t>
      </w:r>
    </w:p>
    <w:p>
      <w:pPr>
        <w:pStyle w:val="4"/>
        <w:spacing w:before="113" w:line="222" w:lineRule="auto"/>
        <w:ind w:left="514"/>
      </w:pPr>
      <w:r>
        <w:rPr>
          <w:spacing w:val="-1"/>
          <w14:textOutline w14:w="4358" w14:cap="sq" w14:cmpd="sng">
            <w14:solidFill>
              <w14:srgbClr w14:val="000000"/>
            </w14:solidFill>
            <w14:prstDash w14:val="solid"/>
            <w14:bevel/>
          </w14:textOutline>
        </w:rPr>
        <w:t>（五）建设工程合同纠纷的主要类型及解决实务</w:t>
      </w:r>
    </w:p>
    <w:p>
      <w:pPr>
        <w:pStyle w:val="4"/>
        <w:spacing w:before="112" w:line="265" w:lineRule="auto"/>
        <w:ind w:left="44" w:right="79" w:firstLine="478"/>
      </w:pPr>
      <w:r>
        <w:rPr>
          <w:rFonts w:ascii="Times New Roman" w:hAnsi="Times New Roman" w:eastAsia="Times New Roman" w:cs="Times New Roman"/>
          <w:spacing w:val="-2"/>
        </w:rPr>
        <w:t>1.</w:t>
      </w:r>
      <w:r>
        <w:rPr>
          <w:spacing w:val="-2"/>
        </w:rPr>
        <w:t>工程造价纠纷及解决实务，包括工程量的认定、结算方式的确定、与审计</w:t>
      </w:r>
      <w:r>
        <w:rPr>
          <w:spacing w:val="5"/>
        </w:rPr>
        <w:t xml:space="preserve"> </w:t>
      </w:r>
      <w:r>
        <w:rPr>
          <w:spacing w:val="-6"/>
        </w:rPr>
        <w:t>的关系等；</w:t>
      </w:r>
    </w:p>
    <w:p>
      <w:pPr>
        <w:pStyle w:val="4"/>
        <w:spacing w:before="112" w:line="264" w:lineRule="auto"/>
        <w:ind w:left="34" w:right="79" w:firstLine="464"/>
      </w:pPr>
      <w:r>
        <w:rPr>
          <w:rFonts w:ascii="Times New Roman" w:hAnsi="Times New Roman" w:eastAsia="Times New Roman" w:cs="Times New Roman"/>
          <w:spacing w:val="-1"/>
        </w:rPr>
        <w:t>2.</w:t>
      </w:r>
      <w:r>
        <w:rPr>
          <w:spacing w:val="-1"/>
        </w:rPr>
        <w:t>工程质量纠纷及解决实务，包括质量责任及保修责任的认定</w:t>
      </w:r>
      <w:r>
        <w:rPr>
          <w:spacing w:val="-2"/>
        </w:rPr>
        <w:t>、保修期内的</w:t>
      </w:r>
      <w:r>
        <w:t xml:space="preserve"> </w:t>
      </w:r>
      <w:r>
        <w:rPr>
          <w:spacing w:val="-4"/>
        </w:rPr>
        <w:t>通知义务等；</w:t>
      </w:r>
    </w:p>
    <w:p>
      <w:pPr>
        <w:pStyle w:val="4"/>
        <w:spacing w:before="113" w:line="264" w:lineRule="auto"/>
        <w:ind w:left="497" w:right="1302" w:firstLine="5"/>
        <w:rPr>
          <w:spacing w:val="18"/>
        </w:rPr>
      </w:pPr>
      <w:r>
        <w:rPr>
          <w:rFonts w:ascii="Times New Roman" w:hAnsi="Times New Roman" w:eastAsia="Times New Roman" w:cs="Times New Roman"/>
          <w:spacing w:val="-3"/>
        </w:rPr>
        <w:t>3.</w:t>
      </w:r>
      <w:r>
        <w:rPr>
          <w:spacing w:val="-3"/>
        </w:rPr>
        <w:t>工期纠纷及解决实务，包括开竣工时间的确定、工期索赔等；</w:t>
      </w:r>
      <w:r>
        <w:rPr>
          <w:spacing w:val="18"/>
        </w:rPr>
        <w:t xml:space="preserve"> </w:t>
      </w:r>
    </w:p>
    <w:p>
      <w:pPr>
        <w:pStyle w:val="4"/>
        <w:spacing w:before="113" w:line="264" w:lineRule="auto"/>
        <w:ind w:left="497" w:right="1302" w:firstLine="5"/>
      </w:pPr>
      <w:r>
        <w:rPr>
          <w:rFonts w:ascii="Times New Roman" w:hAnsi="Times New Roman" w:eastAsia="Times New Roman" w:cs="Times New Roman"/>
          <w:spacing w:val="-1"/>
        </w:rPr>
        <w:t>4.</w:t>
      </w:r>
      <w:r>
        <w:rPr>
          <w:spacing w:val="-1"/>
        </w:rPr>
        <w:t>工程建设纠纷的解决途径及选择。</w:t>
      </w:r>
    </w:p>
    <w:p>
      <w:pPr>
        <w:pStyle w:val="4"/>
        <w:spacing w:before="112" w:line="265" w:lineRule="auto"/>
        <w:ind w:left="29" w:right="52" w:firstLine="490"/>
      </w:pPr>
      <w:r>
        <w:rPr>
          <w:spacing w:val="4"/>
          <w14:textOutline w14:w="4358" w14:cap="sq" w14:cmpd="sng">
            <w14:solidFill>
              <w14:srgbClr w14:val="000000"/>
            </w14:solidFill>
            <w14:prstDash w14:val="solid"/>
            <w14:bevel/>
          </w14:textOutline>
        </w:rPr>
        <w:t>第二部分：从源头防范及化解工程结算纠纷，结合典型案例的复盘，对如</w:t>
      </w:r>
      <w:r>
        <w:rPr>
          <w:spacing w:val="17"/>
        </w:rPr>
        <w:t xml:space="preserve"> </w:t>
      </w:r>
      <w:r>
        <w:rPr>
          <w14:textOutline w14:w="4358" w14:cap="sq" w14:cmpd="sng">
            <w14:solidFill>
              <w14:srgbClr w14:val="000000"/>
            </w14:solidFill>
            <w14:prstDash w14:val="solid"/>
            <w14:bevel/>
          </w14:textOutline>
        </w:rPr>
        <w:t>何实现高质量工程招投标、合约签订及工程结算疑难点做深入剖析。</w:t>
      </w:r>
    </w:p>
    <w:p>
      <w:pPr>
        <w:pStyle w:val="4"/>
        <w:spacing w:before="113" w:line="222" w:lineRule="auto"/>
        <w:ind w:left="514"/>
      </w:pPr>
      <w:r>
        <w:rPr>
          <w:spacing w:val="-1"/>
          <w14:textOutline w14:w="4358" w14:cap="sq" w14:cmpd="sng">
            <w14:solidFill>
              <w14:srgbClr w14:val="000000"/>
            </w14:solidFill>
            <w14:prstDash w14:val="solid"/>
            <w14:bevel/>
          </w14:textOutline>
        </w:rPr>
        <w:t>（一）建设项目全过程投标管理策划</w:t>
      </w:r>
    </w:p>
    <w:p>
      <w:pPr>
        <w:pStyle w:val="4"/>
        <w:spacing w:before="108" w:line="265" w:lineRule="auto"/>
        <w:ind w:left="32" w:right="79" w:firstLine="476"/>
      </w:pPr>
      <w:r>
        <w:rPr>
          <w:spacing w:val="-3"/>
        </w:rPr>
        <w:t>从揭示工程建设领域主要矛盾入手，讲述投标策划</w:t>
      </w:r>
      <w:r>
        <w:rPr>
          <w:spacing w:val="-4"/>
        </w:rPr>
        <w:t>总体思路和具体方法，并</w:t>
      </w:r>
      <w:r>
        <w:t xml:space="preserve"> </w:t>
      </w:r>
      <w:r>
        <w:rPr>
          <w:spacing w:val="-1"/>
        </w:rPr>
        <w:t>分别从建设单位和施工总承包单位两层面的管理策划展开讲解，突出：</w:t>
      </w:r>
    </w:p>
    <w:p>
      <w:pPr>
        <w:pStyle w:val="4"/>
        <w:spacing w:before="114" w:line="221" w:lineRule="auto"/>
        <w:ind w:left="522"/>
      </w:pPr>
      <w:r>
        <w:rPr>
          <w:rFonts w:ascii="Times New Roman" w:hAnsi="Times New Roman" w:eastAsia="Times New Roman" w:cs="Times New Roman"/>
          <w:spacing w:val="-2"/>
        </w:rPr>
        <w:t>1.</w:t>
      </w:r>
      <w:r>
        <w:rPr>
          <w:spacing w:val="-2"/>
        </w:rPr>
        <w:t>项目投标全寿命周期理论与实务；</w:t>
      </w:r>
    </w:p>
    <w:p>
      <w:pPr>
        <w:pStyle w:val="4"/>
        <w:spacing w:before="111" w:line="222" w:lineRule="auto"/>
        <w:ind w:left="499"/>
      </w:pPr>
      <w:r>
        <w:rPr>
          <w:rFonts w:ascii="Times New Roman" w:hAnsi="Times New Roman" w:eastAsia="Times New Roman" w:cs="Times New Roman"/>
        </w:rPr>
        <w:t>2.</w:t>
      </w:r>
      <w:r>
        <w:t>工程总承包和施工总承包项目投标策划关键</w:t>
      </w:r>
      <w:r>
        <w:rPr>
          <w:spacing w:val="-1"/>
        </w:rPr>
        <w:t>点解析及对策。</w:t>
      </w:r>
    </w:p>
    <w:p>
      <w:pPr>
        <w:pStyle w:val="4"/>
        <w:spacing w:before="112" w:line="221" w:lineRule="auto"/>
        <w:ind w:left="514"/>
      </w:pPr>
      <w:r>
        <w:rPr>
          <w:spacing w:val="-1"/>
          <w14:textOutline w14:w="4358" w14:cap="sq" w14:cmpd="sng">
            <w14:solidFill>
              <w14:srgbClr w14:val="000000"/>
            </w14:solidFill>
            <w14:prstDash w14:val="solid"/>
            <w14:bevel/>
          </w14:textOutline>
        </w:rPr>
        <w:t>（二）施工单位业务承揽风险与清欠实务</w:t>
      </w:r>
    </w:p>
    <w:p>
      <w:pPr>
        <w:pStyle w:val="4"/>
        <w:spacing w:before="114" w:line="267" w:lineRule="auto"/>
        <w:ind w:left="54" w:right="79" w:firstLine="467"/>
      </w:pPr>
      <w:r>
        <w:rPr>
          <w:rFonts w:ascii="Times New Roman" w:hAnsi="Times New Roman" w:eastAsia="Times New Roman" w:cs="Times New Roman"/>
          <w:spacing w:val="2"/>
        </w:rPr>
        <w:t xml:space="preserve">1.  </w:t>
      </w:r>
      <w:r>
        <w:rPr>
          <w:spacing w:val="2"/>
        </w:rPr>
        <w:t>工程总承包和施工总承包工程招标文件合</w:t>
      </w:r>
      <w:r>
        <w:rPr>
          <w:spacing w:val="1"/>
        </w:rPr>
        <w:t>同及造价风险识别及应对。突</w:t>
      </w:r>
      <w:r>
        <w:t xml:space="preserve"> </w:t>
      </w:r>
      <w:r>
        <w:rPr>
          <w:spacing w:val="-21"/>
        </w:rPr>
        <w:t>出：</w:t>
      </w:r>
    </w:p>
    <w:p>
      <w:pPr>
        <w:pStyle w:val="4"/>
        <w:spacing w:before="104" w:line="222" w:lineRule="auto"/>
        <w:ind w:left="514"/>
      </w:pPr>
      <w:r>
        <w:rPr>
          <w:spacing w:val="-1"/>
        </w:rPr>
        <w:t>（</w:t>
      </w:r>
      <w:r>
        <w:rPr>
          <w:rFonts w:ascii="Times New Roman" w:hAnsi="Times New Roman" w:eastAsia="Times New Roman" w:cs="Times New Roman"/>
          <w:spacing w:val="-1"/>
        </w:rPr>
        <w:t>1</w:t>
      </w:r>
      <w:r>
        <w:rPr>
          <w:spacing w:val="-1"/>
        </w:rPr>
        <w:t>）工程总承包和施工总承包项目合同拟定关键点解析及对策；</w:t>
      </w:r>
    </w:p>
    <w:p>
      <w:pPr>
        <w:pStyle w:val="4"/>
        <w:spacing w:before="114" w:line="264" w:lineRule="auto"/>
        <w:ind w:left="44" w:right="81" w:firstLine="470"/>
      </w:pPr>
      <w:r>
        <w:t>（</w:t>
      </w:r>
      <w:r>
        <w:rPr>
          <w:rFonts w:ascii="Times New Roman" w:hAnsi="Times New Roman" w:eastAsia="Times New Roman" w:cs="Times New Roman"/>
        </w:rPr>
        <w:t>2</w:t>
      </w:r>
      <w:r>
        <w:t>）工程总承包项目有关计价及支付等关键造价管理问题在合同专用条款</w:t>
      </w:r>
      <w:r>
        <w:rPr>
          <w:spacing w:val="2"/>
        </w:rPr>
        <w:t xml:space="preserve"> </w:t>
      </w:r>
      <w:r>
        <w:rPr>
          <w:spacing w:val="-4"/>
        </w:rPr>
        <w:t>的策划及拟定要点。</w:t>
      </w:r>
    </w:p>
    <w:p>
      <w:pPr>
        <w:pStyle w:val="4"/>
        <w:spacing w:before="122" w:line="265" w:lineRule="auto"/>
        <w:ind w:left="32" w:right="62" w:firstLine="466"/>
      </w:pPr>
      <w:r>
        <w:rPr>
          <w:rFonts w:ascii="Times New Roman" w:hAnsi="Times New Roman" w:eastAsia="Times New Roman" w:cs="Times New Roman"/>
          <w:spacing w:val="-1"/>
        </w:rPr>
        <w:t>2.</w:t>
      </w:r>
      <w:r>
        <w:rPr>
          <w:spacing w:val="-1"/>
        </w:rPr>
        <w:t>通过分析当前市场情况下施工单位面临的经营压力，针对性</w:t>
      </w:r>
      <w:r>
        <w:rPr>
          <w:spacing w:val="-2"/>
        </w:rPr>
        <w:t>剖析给出纾困</w:t>
      </w:r>
      <w:r>
        <w:t xml:space="preserve"> </w:t>
      </w:r>
      <w:r>
        <w:rPr>
          <w:spacing w:val="-1"/>
        </w:rPr>
        <w:t>策略，包括：工程结算久拖不结、回款难、造价纠纷等。</w:t>
      </w:r>
    </w:p>
    <w:p>
      <w:pPr>
        <w:pStyle w:val="4"/>
        <w:spacing w:before="88" w:line="222" w:lineRule="auto"/>
        <w:ind w:left="546"/>
      </w:pPr>
      <w:r>
        <w:rPr>
          <w:spacing w:val="11"/>
          <w14:textOutline w14:w="4358" w14:cap="sq" w14:cmpd="sng">
            <w14:solidFill>
              <w14:srgbClr w14:val="000000"/>
            </w14:solidFill>
            <w14:prstDash w14:val="solid"/>
            <w14:bevel/>
          </w14:textOutline>
        </w:rPr>
        <w:t>（三）</w:t>
      </w:r>
      <w:r>
        <w:rPr>
          <w:spacing w:val="-82"/>
        </w:rPr>
        <w:t xml:space="preserve"> </w:t>
      </w:r>
      <w:r>
        <w:rPr>
          <w:spacing w:val="11"/>
          <w14:textOutline w14:w="4358" w14:cap="sq" w14:cmpd="sng">
            <w14:solidFill>
              <w14:srgbClr w14:val="000000"/>
            </w14:solidFill>
            <w14:prstDash w14:val="solid"/>
            <w14:bevel/>
          </w14:textOutline>
        </w:rPr>
        <w:t>《建设项目设计概算编审规范（</w:t>
      </w:r>
      <w:r>
        <w:rPr>
          <w:rFonts w:ascii="Times New Roman" w:hAnsi="Times New Roman" w:eastAsia="Times New Roman" w:cs="Times New Roman"/>
          <w:b/>
          <w:bCs/>
          <w:spacing w:val="11"/>
        </w:rPr>
        <w:t>2023</w:t>
      </w:r>
      <w:r>
        <w:rPr>
          <w:spacing w:val="11"/>
          <w14:textOutline w14:w="4358" w14:cap="sq" w14:cmpd="sng">
            <w14:solidFill>
              <w14:srgbClr w14:val="000000"/>
            </w14:solidFill>
            <w14:prstDash w14:val="solid"/>
            <w14:bevel/>
          </w14:textOutline>
        </w:rPr>
        <w:t>）</w:t>
      </w:r>
      <w:r>
        <w:rPr>
          <w:spacing w:val="-68"/>
        </w:rPr>
        <w:t xml:space="preserve"> </w:t>
      </w:r>
      <w:r>
        <w:rPr>
          <w:spacing w:val="11"/>
          <w14:textOutline w14:w="4358" w14:cap="sq" w14:cmpd="sng">
            <w14:solidFill>
              <w14:srgbClr w14:val="000000"/>
            </w14:solidFill>
            <w14:prstDash w14:val="solid"/>
            <w14:bevel/>
          </w14:textOutline>
        </w:rPr>
        <w:t>》解读及实务</w:t>
      </w:r>
    </w:p>
    <w:p>
      <w:pPr>
        <w:pStyle w:val="4"/>
        <w:spacing w:before="131" w:line="420" w:lineRule="exact"/>
        <w:ind w:left="553"/>
      </w:pPr>
      <w:r>
        <w:rPr>
          <w:rFonts w:ascii="Times New Roman" w:hAnsi="Times New Roman" w:eastAsia="Times New Roman" w:cs="Times New Roman"/>
          <w:spacing w:val="10"/>
          <w:position w:val="13"/>
        </w:rPr>
        <w:t>1.</w:t>
      </w:r>
      <w:r>
        <w:rPr>
          <w:spacing w:val="10"/>
          <w:position w:val="13"/>
        </w:rPr>
        <w:t>《建设项目设计概算编审规范（</w:t>
      </w:r>
      <w:r>
        <w:rPr>
          <w:rFonts w:ascii="Times New Roman" w:hAnsi="Times New Roman" w:eastAsia="Times New Roman" w:cs="Times New Roman"/>
          <w:spacing w:val="10"/>
          <w:position w:val="13"/>
        </w:rPr>
        <w:t>2023</w:t>
      </w:r>
      <w:r>
        <w:rPr>
          <w:spacing w:val="10"/>
          <w:position w:val="13"/>
        </w:rPr>
        <w:t>）</w:t>
      </w:r>
      <w:r>
        <w:rPr>
          <w:spacing w:val="-60"/>
          <w:position w:val="13"/>
        </w:rPr>
        <w:t xml:space="preserve"> </w:t>
      </w:r>
      <w:r>
        <w:rPr>
          <w:spacing w:val="10"/>
          <w:position w:val="13"/>
        </w:rPr>
        <w:t>》的主要变化：</w:t>
      </w:r>
    </w:p>
    <w:p>
      <w:pPr>
        <w:pStyle w:val="4"/>
        <w:spacing w:line="221" w:lineRule="auto"/>
        <w:ind w:left="546"/>
      </w:pPr>
      <w:r>
        <w:rPr>
          <w:spacing w:val="9"/>
        </w:rPr>
        <w:t>（</w:t>
      </w:r>
      <w:r>
        <w:rPr>
          <w:rFonts w:ascii="Times New Roman" w:hAnsi="Times New Roman" w:eastAsia="Times New Roman" w:cs="Times New Roman"/>
          <w:spacing w:val="9"/>
        </w:rPr>
        <w:t>1</w:t>
      </w:r>
      <w:r>
        <w:rPr>
          <w:spacing w:val="9"/>
        </w:rPr>
        <w:t>）编制依据调整；</w:t>
      </w:r>
    </w:p>
    <w:p>
      <w:pPr>
        <w:pStyle w:val="4"/>
        <w:spacing w:before="134" w:line="420" w:lineRule="exact"/>
        <w:ind w:left="546"/>
      </w:pPr>
      <w:r>
        <w:rPr>
          <w:spacing w:val="11"/>
          <w:position w:val="13"/>
        </w:rPr>
        <w:t>（</w:t>
      </w:r>
      <w:r>
        <w:rPr>
          <w:rFonts w:ascii="Times New Roman" w:hAnsi="Times New Roman" w:eastAsia="Times New Roman" w:cs="Times New Roman"/>
          <w:spacing w:val="11"/>
          <w:position w:val="13"/>
        </w:rPr>
        <w:t>2</w:t>
      </w:r>
      <w:r>
        <w:rPr>
          <w:spacing w:val="11"/>
          <w:position w:val="13"/>
        </w:rPr>
        <w:t>）编制方法调整</w:t>
      </w:r>
      <w:r>
        <w:rPr>
          <w:spacing w:val="-70"/>
          <w:position w:val="13"/>
        </w:rPr>
        <w:t xml:space="preserve"> </w:t>
      </w:r>
      <w:r>
        <w:rPr>
          <w:spacing w:val="11"/>
          <w:position w:val="13"/>
        </w:rPr>
        <w:t>，细化建筑工程</w:t>
      </w:r>
      <w:r>
        <w:rPr>
          <w:spacing w:val="-67"/>
          <w:position w:val="13"/>
        </w:rPr>
        <w:t xml:space="preserve"> </w:t>
      </w:r>
      <w:r>
        <w:rPr>
          <w:spacing w:val="11"/>
          <w:position w:val="13"/>
        </w:rPr>
        <w:t>、设备安装工程</w:t>
      </w:r>
      <w:r>
        <w:rPr>
          <w:spacing w:val="10"/>
          <w:position w:val="13"/>
        </w:rPr>
        <w:t>具体编制方法及典</w:t>
      </w:r>
      <w:r>
        <w:rPr>
          <w:rFonts w:hint="eastAsia"/>
          <w:spacing w:val="10"/>
          <w:position w:val="13"/>
          <w:lang w:val="en-US" w:eastAsia="zh-CN"/>
        </w:rPr>
        <w:t>型案例；</w:t>
      </w:r>
    </w:p>
    <w:p>
      <w:pPr>
        <w:pStyle w:val="4"/>
        <w:spacing w:before="133" w:line="423" w:lineRule="exact"/>
        <w:ind w:left="546"/>
      </w:pPr>
      <w:r>
        <w:rPr>
          <w:spacing w:val="12"/>
          <w:position w:val="13"/>
        </w:rPr>
        <w:t>（</w:t>
      </w:r>
      <w:r>
        <w:rPr>
          <w:rFonts w:ascii="Times New Roman" w:hAnsi="Times New Roman" w:eastAsia="Times New Roman" w:cs="Times New Roman"/>
          <w:spacing w:val="12"/>
          <w:position w:val="13"/>
        </w:rPr>
        <w:t>3</w:t>
      </w:r>
      <w:r>
        <w:rPr>
          <w:spacing w:val="12"/>
          <w:position w:val="13"/>
        </w:rPr>
        <w:t>）调整工程建设其他费用</w:t>
      </w:r>
      <w:r>
        <w:rPr>
          <w:spacing w:val="-56"/>
          <w:position w:val="13"/>
        </w:rPr>
        <w:t xml:space="preserve"> </w:t>
      </w:r>
      <w:r>
        <w:rPr>
          <w:spacing w:val="12"/>
          <w:position w:val="13"/>
        </w:rPr>
        <w:t>，主要包括：增加建设单位管理费计算方</w:t>
      </w:r>
      <w:r>
        <w:rPr>
          <w:rFonts w:hint="eastAsia"/>
          <w:spacing w:val="12"/>
          <w:position w:val="13"/>
          <w:lang w:val="en-US" w:eastAsia="zh-CN"/>
        </w:rPr>
        <w:t>法，多项专项评价费，多项其他费用内容等。</w:t>
      </w:r>
    </w:p>
    <w:p>
      <w:pPr>
        <w:pStyle w:val="4"/>
        <w:spacing w:before="132" w:line="222" w:lineRule="auto"/>
        <w:ind w:left="530"/>
      </w:pPr>
      <w:r>
        <w:rPr>
          <w:rFonts w:ascii="Times New Roman" w:hAnsi="Times New Roman" w:eastAsia="Times New Roman" w:cs="Times New Roman"/>
          <w:spacing w:val="12"/>
        </w:rPr>
        <w:t>2.</w:t>
      </w:r>
      <w:r>
        <w:rPr>
          <w:spacing w:val="12"/>
        </w:rPr>
        <w:t>建设项目设计概算编审实务：</w:t>
      </w:r>
    </w:p>
    <w:p>
      <w:pPr>
        <w:pStyle w:val="4"/>
        <w:spacing w:before="132" w:line="422" w:lineRule="exact"/>
        <w:ind w:left="546"/>
      </w:pPr>
      <w:r>
        <w:rPr>
          <w:spacing w:val="12"/>
          <w:position w:val="13"/>
        </w:rPr>
        <w:t>（</w:t>
      </w:r>
      <w:r>
        <w:rPr>
          <w:rFonts w:ascii="Times New Roman" w:hAnsi="Times New Roman" w:eastAsia="Times New Roman" w:cs="Times New Roman"/>
          <w:spacing w:val="12"/>
          <w:position w:val="13"/>
        </w:rPr>
        <w:t>1</w:t>
      </w:r>
      <w:r>
        <w:rPr>
          <w:spacing w:val="12"/>
          <w:position w:val="13"/>
        </w:rPr>
        <w:t>）承包人应对设计概算偏低的风险实务；</w:t>
      </w:r>
    </w:p>
    <w:p>
      <w:pPr>
        <w:pStyle w:val="4"/>
        <w:spacing w:before="1" w:line="221" w:lineRule="auto"/>
        <w:ind w:left="546"/>
      </w:pPr>
      <w:r>
        <w:rPr>
          <w:spacing w:val="12"/>
        </w:rPr>
        <w:t>（</w:t>
      </w:r>
      <w:r>
        <w:rPr>
          <w:rFonts w:ascii="Times New Roman" w:hAnsi="Times New Roman" w:eastAsia="Times New Roman" w:cs="Times New Roman"/>
          <w:spacing w:val="12"/>
        </w:rPr>
        <w:t>2</w:t>
      </w:r>
      <w:r>
        <w:rPr>
          <w:spacing w:val="12"/>
        </w:rPr>
        <w:t>）设计概算编制应考虑的因素及实务；</w:t>
      </w:r>
    </w:p>
    <w:p>
      <w:pPr>
        <w:pStyle w:val="4"/>
        <w:spacing w:before="134" w:line="222" w:lineRule="auto"/>
        <w:ind w:left="546"/>
      </w:pPr>
      <w:r>
        <w:rPr>
          <w:spacing w:val="5"/>
        </w:rPr>
        <w:t>（</w:t>
      </w:r>
      <w:r>
        <w:rPr>
          <w:rFonts w:ascii="Times New Roman" w:hAnsi="Times New Roman" w:eastAsia="Times New Roman" w:cs="Times New Roman"/>
          <w:spacing w:val="5"/>
        </w:rPr>
        <w:t>3</w:t>
      </w:r>
      <w:r>
        <w:rPr>
          <w:spacing w:val="5"/>
        </w:rPr>
        <w:t>）设计概算额度控制</w:t>
      </w:r>
      <w:r>
        <w:rPr>
          <w:spacing w:val="-64"/>
        </w:rPr>
        <w:t xml:space="preserve"> </w:t>
      </w:r>
      <w:r>
        <w:rPr>
          <w:spacing w:val="5"/>
        </w:rPr>
        <w:t>、</w:t>
      </w:r>
      <w:r>
        <w:rPr>
          <w:spacing w:val="-68"/>
        </w:rPr>
        <w:t xml:space="preserve"> </w:t>
      </w:r>
      <w:r>
        <w:rPr>
          <w:spacing w:val="5"/>
        </w:rPr>
        <w:t>审批</w:t>
      </w:r>
      <w:r>
        <w:rPr>
          <w:spacing w:val="-70"/>
        </w:rPr>
        <w:t xml:space="preserve"> </w:t>
      </w:r>
      <w:r>
        <w:rPr>
          <w:spacing w:val="5"/>
        </w:rPr>
        <w:t>、调整实务。</w:t>
      </w:r>
    </w:p>
    <w:p>
      <w:pPr>
        <w:pStyle w:val="4"/>
        <w:spacing w:before="155" w:line="222" w:lineRule="auto"/>
        <w:ind w:left="514"/>
      </w:pPr>
      <w:r>
        <w:rPr>
          <w14:textOutline w14:w="4358" w14:cap="sq" w14:cmpd="sng">
            <w14:solidFill>
              <w14:srgbClr w14:val="000000"/>
            </w14:solidFill>
            <w14:prstDash w14:val="solid"/>
            <w14:bevel/>
          </w14:textOutline>
        </w:rPr>
        <w:t>（四）新时期工程总承包项目造价管理关键点与案例解析</w:t>
      </w:r>
    </w:p>
    <w:p>
      <w:pPr>
        <w:pStyle w:val="4"/>
        <w:spacing w:before="113" w:line="219" w:lineRule="auto"/>
        <w:ind w:left="522"/>
      </w:pPr>
      <w:r>
        <w:rPr>
          <w:rFonts w:ascii="Times New Roman" w:hAnsi="Times New Roman" w:eastAsia="Times New Roman" w:cs="Times New Roman"/>
          <w:spacing w:val="-1"/>
        </w:rPr>
        <w:t>1.</w:t>
      </w:r>
      <w:r>
        <w:rPr>
          <w:spacing w:val="-1"/>
        </w:rPr>
        <w:t>近年来我国工程总承包的发展现状、存在的突出问题及原因深度分析；</w:t>
      </w:r>
    </w:p>
    <w:p>
      <w:pPr>
        <w:pStyle w:val="4"/>
        <w:spacing w:before="113" w:line="265" w:lineRule="auto"/>
        <w:ind w:left="503" w:hanging="4"/>
        <w:rPr>
          <w:spacing w:val="6"/>
        </w:rPr>
      </w:pPr>
      <w:r>
        <w:rPr>
          <w:rFonts w:ascii="Times New Roman" w:hAnsi="Times New Roman" w:eastAsia="Times New Roman" w:cs="Times New Roman"/>
          <w:spacing w:val="-8"/>
        </w:rPr>
        <w:t>2.</w:t>
      </w:r>
      <w:r>
        <w:rPr>
          <w:spacing w:val="-8"/>
        </w:rPr>
        <w:t>《建设项目工程总承包计价规范</w:t>
      </w:r>
      <w:r>
        <w:rPr>
          <w:spacing w:val="-8"/>
          <w:sz w:val="20"/>
          <w:szCs w:val="20"/>
        </w:rPr>
        <w:t>（</w:t>
      </w:r>
      <w:r>
        <w:rPr>
          <w:rFonts w:ascii="Times New Roman" w:hAnsi="Times New Roman" w:eastAsia="Times New Roman" w:cs="Times New Roman"/>
          <w:spacing w:val="-8"/>
          <w:sz w:val="20"/>
          <w:szCs w:val="20"/>
        </w:rPr>
        <w:t>2023</w:t>
      </w:r>
      <w:r>
        <w:rPr>
          <w:spacing w:val="-8"/>
          <w:sz w:val="20"/>
          <w:szCs w:val="20"/>
        </w:rPr>
        <w:t>）</w:t>
      </w:r>
      <w:r>
        <w:rPr>
          <w:spacing w:val="-8"/>
        </w:rPr>
        <w:t>》的核心内容阐释及实践操作要点；</w:t>
      </w:r>
      <w:r>
        <w:rPr>
          <w:spacing w:val="6"/>
        </w:rPr>
        <w:t xml:space="preserve"> </w:t>
      </w:r>
    </w:p>
    <w:p>
      <w:pPr>
        <w:pStyle w:val="4"/>
        <w:spacing w:before="113" w:line="265" w:lineRule="auto"/>
        <w:ind w:left="503" w:hanging="4"/>
      </w:pPr>
      <w:r>
        <w:rPr>
          <w:rFonts w:ascii="Times New Roman" w:hAnsi="Times New Roman" w:eastAsia="Times New Roman" w:cs="Times New Roman"/>
        </w:rPr>
        <w:t>3.</w:t>
      </w:r>
      <w:r>
        <w:t>工程总承包合同及造价管理关键疑难点</w:t>
      </w:r>
      <w:r>
        <w:rPr>
          <w:spacing w:val="-1"/>
        </w:rPr>
        <w:t>解析及策略，主要包括：</w:t>
      </w:r>
    </w:p>
    <w:p>
      <w:pPr>
        <w:pStyle w:val="4"/>
        <w:spacing w:before="113" w:line="222" w:lineRule="auto"/>
        <w:ind w:left="514"/>
      </w:pPr>
      <w:r>
        <w:rPr>
          <w:spacing w:val="-1"/>
        </w:rPr>
        <w:t>（</w:t>
      </w:r>
      <w:r>
        <w:rPr>
          <w:rFonts w:ascii="Times New Roman" w:hAnsi="Times New Roman" w:eastAsia="Times New Roman" w:cs="Times New Roman"/>
          <w:spacing w:val="-1"/>
        </w:rPr>
        <w:t>1</w:t>
      </w:r>
      <w:r>
        <w:rPr>
          <w:spacing w:val="-1"/>
        </w:rPr>
        <w:t>）不同类别项目工程总承包的发包阶段、对应的计价基础及计价方式；</w:t>
      </w:r>
    </w:p>
    <w:p>
      <w:pPr>
        <w:pStyle w:val="4"/>
        <w:spacing w:before="110" w:line="265" w:lineRule="auto"/>
        <w:ind w:left="43" w:right="64" w:firstLine="471"/>
      </w:pPr>
      <w:r>
        <w:t>（</w:t>
      </w:r>
      <w:r>
        <w:rPr>
          <w:rFonts w:ascii="Times New Roman" w:hAnsi="Times New Roman" w:eastAsia="Times New Roman" w:cs="Times New Roman"/>
        </w:rPr>
        <w:t>2</w:t>
      </w:r>
      <w:r>
        <w:t>）总价合同与单价合同的全方位对比分析，不同合同类型下全过程造价</w:t>
      </w:r>
      <w:r>
        <w:rPr>
          <w:spacing w:val="2"/>
        </w:rPr>
        <w:t xml:space="preserve"> </w:t>
      </w:r>
      <w:r>
        <w:rPr>
          <w:spacing w:val="-2"/>
        </w:rPr>
        <w:t>管理、工程结算的差异分析及实操要点；</w:t>
      </w:r>
    </w:p>
    <w:p>
      <w:pPr>
        <w:pStyle w:val="4"/>
        <w:spacing w:before="113" w:line="220" w:lineRule="auto"/>
        <w:ind w:left="514"/>
      </w:pPr>
      <w:r>
        <w:rPr>
          <w:spacing w:val="-1"/>
        </w:rPr>
        <w:t>（</w:t>
      </w:r>
      <w:r>
        <w:rPr>
          <w:rFonts w:ascii="Times New Roman" w:hAnsi="Times New Roman" w:eastAsia="Times New Roman" w:cs="Times New Roman"/>
          <w:spacing w:val="-1"/>
        </w:rPr>
        <w:t>3</w:t>
      </w:r>
      <w:r>
        <w:rPr>
          <w:spacing w:val="-1"/>
        </w:rPr>
        <w:t>）工程总承包合同类型的选择及合理运用；</w:t>
      </w:r>
    </w:p>
    <w:p>
      <w:pPr>
        <w:pStyle w:val="4"/>
        <w:spacing w:before="111" w:line="222" w:lineRule="auto"/>
        <w:ind w:left="514"/>
      </w:pPr>
      <w:r>
        <w:rPr>
          <w:spacing w:val="-1"/>
        </w:rPr>
        <w:t>（</w:t>
      </w:r>
      <w:r>
        <w:rPr>
          <w:rFonts w:ascii="Times New Roman" w:hAnsi="Times New Roman" w:eastAsia="Times New Roman" w:cs="Times New Roman"/>
          <w:spacing w:val="-1"/>
        </w:rPr>
        <w:t>4</w:t>
      </w:r>
      <w:r>
        <w:rPr>
          <w:spacing w:val="-1"/>
        </w:rPr>
        <w:t>）工程总承包项目的税务筹划理论分析及实际案例；</w:t>
      </w:r>
    </w:p>
    <w:p>
      <w:pPr>
        <w:pStyle w:val="4"/>
        <w:spacing w:before="113" w:line="264" w:lineRule="auto"/>
        <w:ind w:left="514" w:right="1106"/>
      </w:pPr>
      <w:r>
        <w:rPr>
          <w:spacing w:val="-5"/>
        </w:rPr>
        <w:t>（</w:t>
      </w:r>
      <w:r>
        <w:rPr>
          <w:rFonts w:ascii="Times New Roman" w:hAnsi="Times New Roman" w:eastAsia="Times New Roman" w:cs="Times New Roman"/>
          <w:spacing w:val="-5"/>
        </w:rPr>
        <w:t>5</w:t>
      </w:r>
      <w:r>
        <w:rPr>
          <w:spacing w:val="-5"/>
        </w:rPr>
        <w:t>）《发包人要求》编制的组织、内容、深度要求及案例分析；</w:t>
      </w:r>
      <w:r>
        <w:rPr>
          <w:spacing w:val="3"/>
        </w:rPr>
        <w:t xml:space="preserve"> </w:t>
      </w:r>
      <w:r>
        <w:rPr>
          <w:spacing w:val="-3"/>
        </w:rPr>
        <w:t>（</w:t>
      </w:r>
      <w:r>
        <w:rPr>
          <w:rFonts w:ascii="Times New Roman" w:hAnsi="Times New Roman" w:eastAsia="Times New Roman" w:cs="Times New Roman"/>
          <w:spacing w:val="-3"/>
        </w:rPr>
        <w:t>6</w:t>
      </w:r>
      <w:r>
        <w:rPr>
          <w:spacing w:val="-3"/>
        </w:rPr>
        <w:t>）工程总承包项目招标存在的问题、如何完善招标文件内容；</w:t>
      </w:r>
    </w:p>
    <w:p>
      <w:pPr>
        <w:pStyle w:val="4"/>
        <w:spacing w:before="113" w:line="220" w:lineRule="auto"/>
        <w:ind w:left="514"/>
      </w:pPr>
      <w:r>
        <w:rPr>
          <w:spacing w:val="-6"/>
        </w:rPr>
        <w:t>（</w:t>
      </w:r>
      <w:r>
        <w:rPr>
          <w:rFonts w:ascii="Times New Roman" w:hAnsi="Times New Roman" w:eastAsia="Times New Roman" w:cs="Times New Roman"/>
          <w:spacing w:val="-6"/>
        </w:rPr>
        <w:t>7</w:t>
      </w:r>
      <w:r>
        <w:rPr>
          <w:spacing w:val="-6"/>
        </w:rPr>
        <w:t>）《发包人要求》和基础资料真实性责任分担及应对；</w:t>
      </w:r>
    </w:p>
    <w:p>
      <w:pPr>
        <w:pStyle w:val="4"/>
        <w:spacing w:before="115" w:line="221" w:lineRule="auto"/>
        <w:ind w:left="514"/>
      </w:pPr>
      <w:r>
        <w:rPr>
          <w:spacing w:val="-1"/>
        </w:rPr>
        <w:t>（</w:t>
      </w:r>
      <w:r>
        <w:rPr>
          <w:rFonts w:ascii="Times New Roman" w:hAnsi="Times New Roman" w:eastAsia="Times New Roman" w:cs="Times New Roman"/>
          <w:spacing w:val="-1"/>
        </w:rPr>
        <w:t>8</w:t>
      </w:r>
      <w:r>
        <w:rPr>
          <w:spacing w:val="-1"/>
        </w:rPr>
        <w:t>）项目清单与费率下浮两种计价方式的优缺点对比分析及应对；</w:t>
      </w:r>
    </w:p>
    <w:p>
      <w:pPr>
        <w:pStyle w:val="4"/>
        <w:spacing w:before="113" w:line="264" w:lineRule="auto"/>
        <w:ind w:left="38" w:right="10" w:firstLine="476"/>
      </w:pPr>
      <w:r>
        <w:rPr>
          <w:spacing w:val="2"/>
        </w:rPr>
        <w:t>（</w:t>
      </w:r>
      <w:r>
        <w:rPr>
          <w:rFonts w:ascii="Times New Roman" w:hAnsi="Times New Roman" w:eastAsia="Times New Roman" w:cs="Times New Roman"/>
          <w:spacing w:val="2"/>
        </w:rPr>
        <w:t>9</w:t>
      </w:r>
      <w:r>
        <w:rPr>
          <w:spacing w:val="2"/>
        </w:rPr>
        <w:t>）最高投标限价的编制依据、编制方法及案例，含六</w:t>
      </w:r>
      <w:r>
        <w:rPr>
          <w:spacing w:val="1"/>
        </w:rPr>
        <w:t>种常见的</w:t>
      </w:r>
      <w:r>
        <w:rPr>
          <w:rFonts w:ascii="Times New Roman" w:hAnsi="Times New Roman" w:eastAsia="Times New Roman" w:cs="Times New Roman"/>
          <w:spacing w:val="1"/>
        </w:rPr>
        <w:t>“</w:t>
      </w:r>
      <w:r>
        <w:rPr>
          <w:rFonts w:ascii="Times New Roman" w:hAnsi="Times New Roman" w:eastAsia="Times New Roman" w:cs="Times New Roman"/>
          <w:spacing w:val="-36"/>
        </w:rPr>
        <w:t xml:space="preserve"> </w:t>
      </w:r>
      <w:r>
        <w:rPr>
          <w:spacing w:val="1"/>
        </w:rPr>
        <w:t>不一致</w:t>
      </w:r>
      <w:r>
        <w:rPr>
          <w:rFonts w:ascii="Times New Roman" w:hAnsi="Times New Roman" w:eastAsia="Times New Roman" w:cs="Times New Roman"/>
          <w:spacing w:val="1"/>
        </w:rPr>
        <w:t>”</w:t>
      </w:r>
      <w:r>
        <w:rPr>
          <w:rFonts w:ascii="Times New Roman" w:hAnsi="Times New Roman" w:eastAsia="Times New Roman" w:cs="Times New Roman"/>
        </w:rPr>
        <w:t xml:space="preserve"> </w:t>
      </w:r>
      <w:r>
        <w:rPr>
          <w:spacing w:val="-2"/>
        </w:rPr>
        <w:t>引发的结算风险及处理策略；</w:t>
      </w:r>
    </w:p>
    <w:p>
      <w:pPr>
        <w:pStyle w:val="4"/>
        <w:spacing w:before="113" w:line="222" w:lineRule="auto"/>
        <w:ind w:left="514"/>
      </w:pPr>
      <w:r>
        <w:rPr>
          <w:spacing w:val="-2"/>
        </w:rPr>
        <w:t>（</w:t>
      </w:r>
      <w:r>
        <w:rPr>
          <w:rFonts w:ascii="Times New Roman" w:hAnsi="Times New Roman" w:eastAsia="Times New Roman" w:cs="Times New Roman"/>
          <w:spacing w:val="-2"/>
        </w:rPr>
        <w:t>10</w:t>
      </w:r>
      <w:r>
        <w:rPr>
          <w:spacing w:val="-2"/>
        </w:rPr>
        <w:t>）评标定标方法与最高投标限价；</w:t>
      </w:r>
    </w:p>
    <w:p>
      <w:pPr>
        <w:pStyle w:val="4"/>
        <w:spacing w:before="113" w:line="222" w:lineRule="auto"/>
        <w:ind w:left="514"/>
      </w:pPr>
      <w:r>
        <w:rPr>
          <w:spacing w:val="-1"/>
        </w:rPr>
        <w:t>（</w:t>
      </w:r>
      <w:r>
        <w:rPr>
          <w:rFonts w:ascii="Times New Roman" w:hAnsi="Times New Roman" w:eastAsia="Times New Roman" w:cs="Times New Roman"/>
          <w:spacing w:val="-1"/>
        </w:rPr>
        <w:t>11</w:t>
      </w:r>
      <w:r>
        <w:rPr>
          <w:spacing w:val="-1"/>
        </w:rPr>
        <w:t>）工程总承包项目工程变更的情形、判定及变更价款的确</w:t>
      </w:r>
      <w:r>
        <w:rPr>
          <w:spacing w:val="-2"/>
        </w:rPr>
        <w:t>定；</w:t>
      </w:r>
    </w:p>
    <w:p>
      <w:pPr>
        <w:pStyle w:val="4"/>
        <w:spacing w:before="110" w:line="265" w:lineRule="auto"/>
        <w:ind w:left="514" w:right="266"/>
      </w:pPr>
      <w:r>
        <w:rPr>
          <w:spacing w:val="-2"/>
        </w:rPr>
        <w:t>（</w:t>
      </w:r>
      <w:r>
        <w:rPr>
          <w:rFonts w:ascii="Times New Roman" w:hAnsi="Times New Roman" w:eastAsia="Times New Roman" w:cs="Times New Roman"/>
          <w:spacing w:val="-2"/>
        </w:rPr>
        <w:t>12</w:t>
      </w:r>
      <w:r>
        <w:rPr>
          <w:spacing w:val="-2"/>
        </w:rPr>
        <w:t>）市场价格变化之调值公式法运用的</w:t>
      </w:r>
      <w:r>
        <w:rPr>
          <w:spacing w:val="-3"/>
        </w:rPr>
        <w:t>四个关键点、相应风险及应对；</w:t>
      </w:r>
      <w:r>
        <w:t xml:space="preserve"> </w:t>
      </w:r>
      <w:r>
        <w:rPr>
          <w:spacing w:val="-2"/>
        </w:rPr>
        <w:t>（</w:t>
      </w:r>
      <w:r>
        <w:rPr>
          <w:rFonts w:ascii="Times New Roman" w:hAnsi="Times New Roman" w:eastAsia="Times New Roman" w:cs="Times New Roman"/>
          <w:spacing w:val="-2"/>
        </w:rPr>
        <w:t>13</w:t>
      </w:r>
      <w:r>
        <w:rPr>
          <w:spacing w:val="-2"/>
        </w:rPr>
        <w:t>）市场价格变化价款调整风险应对；</w:t>
      </w:r>
    </w:p>
    <w:p>
      <w:pPr>
        <w:pStyle w:val="4"/>
        <w:spacing w:before="113" w:line="264" w:lineRule="auto"/>
        <w:ind w:left="31" w:right="62" w:firstLine="483"/>
      </w:pPr>
      <w:r>
        <w:rPr>
          <w:spacing w:val="-3"/>
        </w:rPr>
        <w:t>（</w:t>
      </w:r>
      <w:r>
        <w:rPr>
          <w:rFonts w:ascii="Times New Roman" w:hAnsi="Times New Roman" w:eastAsia="Times New Roman" w:cs="Times New Roman"/>
          <w:spacing w:val="-3"/>
        </w:rPr>
        <w:t>14</w:t>
      </w:r>
      <w:r>
        <w:rPr>
          <w:spacing w:val="-3"/>
        </w:rPr>
        <w:t>）工程总承包项目在施工过程中国家强</w:t>
      </w:r>
      <w:r>
        <w:rPr>
          <w:spacing w:val="-4"/>
        </w:rPr>
        <w:t>制性规范、标准等发生变化时工</w:t>
      </w:r>
      <w:r>
        <w:t xml:space="preserve"> </w:t>
      </w:r>
      <w:r>
        <w:rPr>
          <w:spacing w:val="-3"/>
        </w:rPr>
        <w:t>程价款应否调整；</w:t>
      </w:r>
    </w:p>
    <w:p>
      <w:pPr>
        <w:pStyle w:val="4"/>
        <w:numPr>
          <w:ilvl w:val="0"/>
          <w:numId w:val="1"/>
        </w:numPr>
        <w:spacing w:before="122" w:line="264" w:lineRule="auto"/>
        <w:ind w:left="514" w:right="824"/>
        <w:rPr>
          <w:spacing w:val="8"/>
        </w:rPr>
      </w:pPr>
      <w:r>
        <w:rPr>
          <w:spacing w:val="-5"/>
        </w:rPr>
        <w:t>发包人原因导致工期延误期间物价波动，如何调整合同价款？</w:t>
      </w:r>
      <w:r>
        <w:rPr>
          <w:spacing w:val="8"/>
        </w:rPr>
        <w:t xml:space="preserve"> </w:t>
      </w:r>
    </w:p>
    <w:p>
      <w:pPr>
        <w:pStyle w:val="4"/>
        <w:numPr>
          <w:ilvl w:val="0"/>
          <w:numId w:val="1"/>
        </w:numPr>
        <w:spacing w:before="122" w:line="264" w:lineRule="auto"/>
        <w:ind w:left="514" w:right="824"/>
      </w:pPr>
      <w:r>
        <w:rPr>
          <w:spacing w:val="-1"/>
        </w:rPr>
        <w:t>暂估价设置的原则、实践中存在的问题及对策；</w:t>
      </w:r>
    </w:p>
    <w:p>
      <w:pPr>
        <w:pStyle w:val="4"/>
        <w:spacing w:before="115" w:line="220" w:lineRule="auto"/>
        <w:ind w:left="514"/>
      </w:pPr>
      <w:r>
        <w:rPr>
          <w:spacing w:val="-1"/>
        </w:rPr>
        <w:t>（</w:t>
      </w:r>
      <w:r>
        <w:rPr>
          <w:rFonts w:ascii="Times New Roman" w:hAnsi="Times New Roman" w:eastAsia="Times New Roman" w:cs="Times New Roman"/>
          <w:spacing w:val="-1"/>
        </w:rPr>
        <w:t>17</w:t>
      </w:r>
      <w:r>
        <w:rPr>
          <w:spacing w:val="-1"/>
        </w:rPr>
        <w:t>）材料认价、市场询价的要点及注意事项；</w:t>
      </w:r>
    </w:p>
    <w:p>
      <w:pPr>
        <w:pStyle w:val="4"/>
        <w:spacing w:before="112" w:line="400" w:lineRule="exact"/>
        <w:ind w:left="514"/>
      </w:pPr>
      <w:r>
        <w:rPr>
          <w:spacing w:val="-2"/>
          <w:position w:val="11"/>
        </w:rPr>
        <w:t>（</w:t>
      </w:r>
      <w:r>
        <w:rPr>
          <w:rFonts w:ascii="Times New Roman" w:hAnsi="Times New Roman" w:eastAsia="Times New Roman" w:cs="Times New Roman"/>
          <w:spacing w:val="-2"/>
          <w:position w:val="11"/>
        </w:rPr>
        <w:t>18</w:t>
      </w:r>
      <w:r>
        <w:rPr>
          <w:spacing w:val="-2"/>
          <w:position w:val="11"/>
        </w:rPr>
        <w:t>）工程签证的要点及注意事项；</w:t>
      </w:r>
    </w:p>
    <w:p>
      <w:pPr>
        <w:pStyle w:val="4"/>
        <w:spacing w:line="221" w:lineRule="auto"/>
        <w:ind w:left="514"/>
      </w:pPr>
      <w:r>
        <w:rPr>
          <w:spacing w:val="-2"/>
        </w:rPr>
        <w:t>（</w:t>
      </w:r>
      <w:r>
        <w:rPr>
          <w:rFonts w:ascii="Times New Roman" w:hAnsi="Times New Roman" w:eastAsia="Times New Roman" w:cs="Times New Roman"/>
          <w:spacing w:val="-2"/>
        </w:rPr>
        <w:t>19</w:t>
      </w:r>
      <w:r>
        <w:rPr>
          <w:spacing w:val="-2"/>
        </w:rPr>
        <w:t>）限额设计的管理及案例分析；</w:t>
      </w:r>
    </w:p>
    <w:p>
      <w:pPr>
        <w:pStyle w:val="4"/>
        <w:spacing w:before="113" w:line="222" w:lineRule="auto"/>
        <w:ind w:left="514"/>
      </w:pPr>
      <w:r>
        <w:rPr>
          <w:spacing w:val="-1"/>
        </w:rPr>
        <w:t>（</w:t>
      </w:r>
      <w:r>
        <w:rPr>
          <w:rFonts w:ascii="Times New Roman" w:hAnsi="Times New Roman" w:eastAsia="Times New Roman" w:cs="Times New Roman"/>
          <w:spacing w:val="-1"/>
        </w:rPr>
        <w:t>20</w:t>
      </w:r>
      <w:r>
        <w:rPr>
          <w:spacing w:val="-1"/>
        </w:rPr>
        <w:t>）价格指数等造价指标的积累及成本分析。</w:t>
      </w:r>
    </w:p>
    <w:p>
      <w:pPr>
        <w:pStyle w:val="4"/>
        <w:spacing w:before="86" w:line="422" w:lineRule="exact"/>
        <w:ind w:left="546"/>
      </w:pPr>
      <w:r>
        <w:rPr>
          <w:spacing w:val="15"/>
          <w:position w:val="13"/>
          <w14:textOutline w14:w="4358" w14:cap="sq" w14:cmpd="sng">
            <w14:solidFill>
              <w14:srgbClr w14:val="000000"/>
            </w14:solidFill>
            <w14:prstDash w14:val="solid"/>
            <w14:bevel/>
          </w14:textOutline>
        </w:rPr>
        <w:t>（五）</w:t>
      </w:r>
      <w:r>
        <w:rPr>
          <w:spacing w:val="-79"/>
          <w:position w:val="13"/>
        </w:rPr>
        <w:t xml:space="preserve"> </w:t>
      </w:r>
      <w:r>
        <w:rPr>
          <w:spacing w:val="15"/>
          <w:position w:val="13"/>
          <w14:textOutline w14:w="4358" w14:cap="sq" w14:cmpd="sng">
            <w14:solidFill>
              <w14:srgbClr w14:val="000000"/>
            </w14:solidFill>
            <w14:prstDash w14:val="solid"/>
            <w14:bevel/>
          </w14:textOutline>
        </w:rPr>
        <w:t>《工程量清单计价标准（</w:t>
      </w:r>
      <w:r>
        <w:rPr>
          <w:rFonts w:ascii="Times New Roman" w:hAnsi="Times New Roman" w:eastAsia="Times New Roman" w:cs="Times New Roman"/>
          <w:b/>
          <w:bCs/>
          <w:spacing w:val="15"/>
          <w:position w:val="13"/>
        </w:rPr>
        <w:t>2024</w:t>
      </w:r>
      <w:r>
        <w:rPr>
          <w:spacing w:val="15"/>
          <w:position w:val="13"/>
          <w14:textOutline w14:w="4358" w14:cap="sq" w14:cmpd="sng">
            <w14:solidFill>
              <w14:srgbClr w14:val="000000"/>
            </w14:solidFill>
            <w14:prstDash w14:val="solid"/>
            <w14:bevel/>
          </w14:textOutline>
        </w:rPr>
        <w:t>）</w:t>
      </w:r>
      <w:r>
        <w:rPr>
          <w:spacing w:val="-59"/>
          <w:position w:val="13"/>
        </w:rPr>
        <w:t xml:space="preserve"> </w:t>
      </w:r>
      <w:r>
        <w:rPr>
          <w:spacing w:val="15"/>
          <w:position w:val="13"/>
          <w14:textOutline w14:w="4358" w14:cap="sq" w14:cmpd="sng">
            <w14:solidFill>
              <w14:srgbClr w14:val="000000"/>
            </w14:solidFill>
            <w14:prstDash w14:val="solid"/>
            <w14:bevel/>
          </w14:textOutline>
        </w:rPr>
        <w:t>》下工程造价疑难热点实务指</w:t>
      </w:r>
    </w:p>
    <w:p>
      <w:pPr>
        <w:pStyle w:val="4"/>
        <w:spacing w:before="1" w:line="222" w:lineRule="auto"/>
        <w:ind w:left="38"/>
      </w:pPr>
      <w:r>
        <w:rPr>
          <w:spacing w:val="11"/>
          <w14:textOutline w14:w="4358" w14:cap="sq" w14:cmpd="sng">
            <w14:solidFill>
              <w14:srgbClr w14:val="000000"/>
            </w14:solidFill>
            <w14:prstDash w14:val="solid"/>
            <w14:bevel/>
          </w14:textOutline>
        </w:rPr>
        <w:t>引与典型案例复盘</w:t>
      </w:r>
    </w:p>
    <w:p>
      <w:pPr>
        <w:pStyle w:val="4"/>
        <w:spacing w:before="131" w:line="324" w:lineRule="auto"/>
        <w:ind w:left="31" w:right="90" w:firstLine="521"/>
      </w:pPr>
      <w:r>
        <w:rPr>
          <w:rFonts w:ascii="Times New Roman" w:hAnsi="Times New Roman" w:eastAsia="Times New Roman" w:cs="Times New Roman"/>
          <w:spacing w:val="11"/>
        </w:rPr>
        <w:t>1.</w:t>
      </w:r>
      <w:r>
        <w:rPr>
          <w:rFonts w:ascii="Times New Roman" w:hAnsi="Times New Roman" w:eastAsia="Times New Roman" w:cs="Times New Roman"/>
          <w:spacing w:val="-32"/>
        </w:rPr>
        <w:t xml:space="preserve"> </w:t>
      </w:r>
      <w:r>
        <w:rPr>
          <w:spacing w:val="11"/>
        </w:rPr>
        <w:t>单价合同、总价合同与成本加酬金合同三种</w:t>
      </w:r>
      <w:r>
        <w:rPr>
          <w:spacing w:val="10"/>
        </w:rPr>
        <w:t>合同类型的本质区别及合</w:t>
      </w:r>
      <w:r>
        <w:rPr>
          <w:spacing w:val="15"/>
        </w:rPr>
        <w:t>理运用实务</w:t>
      </w:r>
      <w:r>
        <w:rPr>
          <w:spacing w:val="-63"/>
        </w:rPr>
        <w:t xml:space="preserve"> </w:t>
      </w:r>
      <w:r>
        <w:rPr>
          <w:spacing w:val="15"/>
        </w:rPr>
        <w:t>，包括不同合同类型对计量支付的影响</w:t>
      </w:r>
      <w:r>
        <w:rPr>
          <w:spacing w:val="-67"/>
        </w:rPr>
        <w:t xml:space="preserve"> </w:t>
      </w:r>
      <w:r>
        <w:rPr>
          <w:spacing w:val="15"/>
        </w:rPr>
        <w:t>、对合同价款调整的影</w:t>
      </w:r>
    </w:p>
    <w:p>
      <w:pPr>
        <w:pStyle w:val="4"/>
        <w:spacing w:before="1" w:line="221" w:lineRule="auto"/>
        <w:ind w:left="37"/>
      </w:pPr>
      <w:r>
        <w:rPr>
          <w:spacing w:val="10"/>
        </w:rPr>
        <w:t>响</w:t>
      </w:r>
      <w:r>
        <w:rPr>
          <w:spacing w:val="-63"/>
        </w:rPr>
        <w:t xml:space="preserve"> </w:t>
      </w:r>
      <w:r>
        <w:rPr>
          <w:spacing w:val="10"/>
        </w:rPr>
        <w:t>、工程结算的差异分析</w:t>
      </w:r>
      <w:r>
        <w:rPr>
          <w:spacing w:val="-71"/>
        </w:rPr>
        <w:t xml:space="preserve"> </w:t>
      </w:r>
      <w:r>
        <w:rPr>
          <w:spacing w:val="10"/>
        </w:rPr>
        <w:t>、合同解除时的处理及实操要点等；</w:t>
      </w:r>
    </w:p>
    <w:p>
      <w:pPr>
        <w:pStyle w:val="4"/>
        <w:spacing w:before="134" w:line="420" w:lineRule="exact"/>
        <w:ind w:left="530"/>
      </w:pPr>
      <w:r>
        <w:rPr>
          <w:rFonts w:ascii="Times New Roman" w:hAnsi="Times New Roman" w:eastAsia="Times New Roman" w:cs="Times New Roman"/>
          <w:spacing w:val="11"/>
          <w:position w:val="13"/>
        </w:rPr>
        <w:t>2.</w:t>
      </w:r>
      <w:r>
        <w:rPr>
          <w:rFonts w:ascii="Times New Roman" w:hAnsi="Times New Roman" w:eastAsia="Times New Roman" w:cs="Times New Roman"/>
          <w:spacing w:val="-20"/>
          <w:position w:val="13"/>
        </w:rPr>
        <w:t xml:space="preserve"> </w:t>
      </w:r>
      <w:r>
        <w:rPr>
          <w:spacing w:val="11"/>
          <w:position w:val="13"/>
        </w:rPr>
        <w:t>单价计价、总价计价和费率计价三种计价方式的本质区别及合理运用</w:t>
      </w:r>
    </w:p>
    <w:p>
      <w:pPr>
        <w:pStyle w:val="4"/>
        <w:spacing w:line="222" w:lineRule="auto"/>
        <w:ind w:left="34"/>
      </w:pPr>
      <w:r>
        <w:rPr>
          <w:spacing w:val="-2"/>
        </w:rPr>
        <w:t>实务；</w:t>
      </w:r>
    </w:p>
    <w:p>
      <w:pPr>
        <w:pStyle w:val="4"/>
        <w:spacing w:before="134" w:line="323" w:lineRule="auto"/>
        <w:ind w:left="30" w:right="90" w:firstLine="504"/>
      </w:pPr>
      <w:r>
        <w:rPr>
          <w:rFonts w:ascii="Times New Roman" w:hAnsi="Times New Roman" w:eastAsia="Times New Roman" w:cs="Times New Roman"/>
          <w:spacing w:val="12"/>
        </w:rPr>
        <w:t>3.</w:t>
      </w:r>
      <w:r>
        <w:rPr>
          <w:spacing w:val="12"/>
        </w:rPr>
        <w:t>项目清单的编制要点及重点事项，包括分部分项工程项目清单、措施</w:t>
      </w:r>
      <w:r>
        <w:rPr>
          <w:spacing w:val="3"/>
        </w:rPr>
        <w:t xml:space="preserve"> </w:t>
      </w:r>
      <w:r>
        <w:rPr>
          <w:spacing w:val="13"/>
        </w:rPr>
        <w:t>项目清单</w:t>
      </w:r>
      <w:r>
        <w:rPr>
          <w:spacing w:val="-49"/>
        </w:rPr>
        <w:t xml:space="preserve"> </w:t>
      </w:r>
      <w:r>
        <w:rPr>
          <w:spacing w:val="13"/>
        </w:rPr>
        <w:t>、其他项目清单等</w:t>
      </w:r>
      <w:r>
        <w:rPr>
          <w:spacing w:val="-68"/>
        </w:rPr>
        <w:t xml:space="preserve"> </w:t>
      </w:r>
      <w:r>
        <w:rPr>
          <w:spacing w:val="13"/>
        </w:rPr>
        <w:t>；项目特征描述的原则</w:t>
      </w:r>
      <w:r>
        <w:rPr>
          <w:spacing w:val="-68"/>
        </w:rPr>
        <w:t xml:space="preserve"> </w:t>
      </w:r>
      <w:r>
        <w:rPr>
          <w:spacing w:val="13"/>
        </w:rPr>
        <w:t>，设计文件未明确项目</w:t>
      </w:r>
    </w:p>
    <w:p>
      <w:pPr>
        <w:pStyle w:val="4"/>
        <w:spacing w:before="1" w:line="221" w:lineRule="auto"/>
        <w:ind w:left="29"/>
      </w:pPr>
      <w:r>
        <w:rPr>
          <w:spacing w:val="13"/>
        </w:rPr>
        <w:t>特征时的处理</w:t>
      </w:r>
      <w:r>
        <w:rPr>
          <w:spacing w:val="-71"/>
        </w:rPr>
        <w:t xml:space="preserve"> </w:t>
      </w:r>
      <w:r>
        <w:rPr>
          <w:spacing w:val="13"/>
        </w:rPr>
        <w:t>；增值税下企业实际税负测算及税务筹划实务及典型案</w:t>
      </w:r>
      <w:r>
        <w:rPr>
          <w:spacing w:val="12"/>
        </w:rPr>
        <w:t>例；</w:t>
      </w:r>
    </w:p>
    <w:p>
      <w:pPr>
        <w:pStyle w:val="4"/>
        <w:spacing w:before="134" w:line="324" w:lineRule="auto"/>
        <w:ind w:left="36" w:right="90" w:firstLine="492"/>
      </w:pPr>
      <w:r>
        <w:rPr>
          <w:rFonts w:ascii="Times New Roman" w:hAnsi="Times New Roman" w:eastAsia="Times New Roman" w:cs="Times New Roman"/>
          <w:spacing w:val="18"/>
        </w:rPr>
        <w:t>4.</w:t>
      </w:r>
      <w:r>
        <w:rPr>
          <w:rFonts w:ascii="Times New Roman" w:hAnsi="Times New Roman" w:eastAsia="Times New Roman" w:cs="Times New Roman"/>
          <w:spacing w:val="-30"/>
        </w:rPr>
        <w:t xml:space="preserve"> </w:t>
      </w:r>
      <w:r>
        <w:rPr>
          <w:spacing w:val="18"/>
        </w:rPr>
        <w:t>综合单价内涵的变化及实务应对</w:t>
      </w:r>
      <w:r>
        <w:rPr>
          <w:spacing w:val="-65"/>
        </w:rPr>
        <w:t xml:space="preserve"> </w:t>
      </w:r>
      <w:r>
        <w:rPr>
          <w:spacing w:val="18"/>
        </w:rPr>
        <w:t>，物价变化</w:t>
      </w:r>
      <w:r>
        <w:rPr>
          <w:spacing w:val="17"/>
        </w:rPr>
        <w:t>导致的合同价格调整实</w:t>
      </w:r>
      <w:r>
        <w:t xml:space="preserve"> </w:t>
      </w:r>
      <w:r>
        <w:rPr>
          <w:spacing w:val="13"/>
        </w:rPr>
        <w:t>务</w:t>
      </w:r>
      <w:r>
        <w:rPr>
          <w:spacing w:val="-55"/>
        </w:rPr>
        <w:t xml:space="preserve"> </w:t>
      </w:r>
      <w:r>
        <w:rPr>
          <w:spacing w:val="13"/>
        </w:rPr>
        <w:t>，包括综合单价应包含的实质内容</w:t>
      </w:r>
      <w:r>
        <w:rPr>
          <w:spacing w:val="-68"/>
        </w:rPr>
        <w:t xml:space="preserve"> </w:t>
      </w:r>
      <w:r>
        <w:rPr>
          <w:spacing w:val="13"/>
        </w:rPr>
        <w:t>，可调价材料范围的明确方法</w:t>
      </w:r>
      <w:r>
        <w:rPr>
          <w:spacing w:val="-68"/>
        </w:rPr>
        <w:t xml:space="preserve"> </w:t>
      </w:r>
      <w:r>
        <w:rPr>
          <w:spacing w:val="13"/>
        </w:rPr>
        <w:t>，可调</w:t>
      </w:r>
    </w:p>
    <w:p>
      <w:pPr>
        <w:pStyle w:val="4"/>
        <w:spacing w:line="220" w:lineRule="auto"/>
        <w:ind w:left="30"/>
      </w:pPr>
      <w:r>
        <w:rPr>
          <w:spacing w:val="11"/>
        </w:rPr>
        <w:t>价材料的风险幅度的确定，基准单价的确定</w:t>
      </w:r>
      <w:r>
        <w:rPr>
          <w:spacing w:val="-70"/>
        </w:rPr>
        <w:t xml:space="preserve"> </w:t>
      </w:r>
      <w:r>
        <w:rPr>
          <w:spacing w:val="11"/>
        </w:rPr>
        <w:t>，</w:t>
      </w:r>
      <w:r>
        <w:rPr>
          <w:spacing w:val="-58"/>
        </w:rPr>
        <w:t xml:space="preserve"> </w:t>
      </w:r>
      <w:r>
        <w:rPr>
          <w:spacing w:val="11"/>
        </w:rPr>
        <w:t>甲供材</w:t>
      </w:r>
      <w:r>
        <w:rPr>
          <w:spacing w:val="10"/>
        </w:rPr>
        <w:t>料消耗量的确定；</w:t>
      </w:r>
    </w:p>
    <w:p>
      <w:pPr>
        <w:pStyle w:val="4"/>
        <w:spacing w:before="135" w:line="324" w:lineRule="auto"/>
        <w:ind w:left="30" w:right="90" w:firstLine="505"/>
      </w:pPr>
      <w:r>
        <w:rPr>
          <w:rFonts w:ascii="Times New Roman" w:hAnsi="Times New Roman" w:eastAsia="Times New Roman" w:cs="Times New Roman"/>
          <w:spacing w:val="11"/>
        </w:rPr>
        <w:t>5.</w:t>
      </w:r>
      <w:r>
        <w:rPr>
          <w:rFonts w:ascii="Times New Roman" w:hAnsi="Times New Roman" w:eastAsia="Times New Roman" w:cs="Times New Roman"/>
          <w:spacing w:val="-27"/>
        </w:rPr>
        <w:t xml:space="preserve"> </w:t>
      </w:r>
      <w:r>
        <w:rPr>
          <w:spacing w:val="11"/>
        </w:rPr>
        <w:t>对招标控制价编制的管理、对清标的管理，投标人对投标报价编制依</w:t>
      </w:r>
      <w:r>
        <w:t xml:space="preserve"> </w:t>
      </w:r>
      <w:r>
        <w:rPr>
          <w:spacing w:val="13"/>
        </w:rPr>
        <w:t>据</w:t>
      </w:r>
      <w:r>
        <w:rPr>
          <w:spacing w:val="-50"/>
        </w:rPr>
        <w:t xml:space="preserve"> </w:t>
      </w:r>
      <w:r>
        <w:rPr>
          <w:spacing w:val="13"/>
        </w:rPr>
        <w:t>、风险考虑及管理等</w:t>
      </w:r>
      <w:r>
        <w:rPr>
          <w:spacing w:val="-68"/>
        </w:rPr>
        <w:t xml:space="preserve"> </w:t>
      </w:r>
      <w:r>
        <w:rPr>
          <w:spacing w:val="13"/>
        </w:rPr>
        <w:t>，编审应注意的重点事项及应对</w:t>
      </w:r>
      <w:r>
        <w:rPr>
          <w:spacing w:val="-67"/>
        </w:rPr>
        <w:t xml:space="preserve"> </w:t>
      </w:r>
      <w:r>
        <w:rPr>
          <w:spacing w:val="13"/>
        </w:rPr>
        <w:t>。包括最高投标限</w:t>
      </w:r>
      <w:r>
        <w:t xml:space="preserve"> </w:t>
      </w:r>
      <w:r>
        <w:rPr>
          <w:spacing w:val="15"/>
        </w:rPr>
        <w:t>价合理性的判定及异议处理</w:t>
      </w:r>
      <w:r>
        <w:rPr>
          <w:spacing w:val="-68"/>
        </w:rPr>
        <w:t xml:space="preserve"> </w:t>
      </w:r>
      <w:r>
        <w:rPr>
          <w:spacing w:val="15"/>
        </w:rPr>
        <w:t>；投标报价（例如不平衡</w:t>
      </w:r>
      <w:r>
        <w:rPr>
          <w:spacing w:val="14"/>
        </w:rPr>
        <w:t>报价）</w:t>
      </w:r>
      <w:r>
        <w:rPr>
          <w:spacing w:val="-52"/>
        </w:rPr>
        <w:t xml:space="preserve"> </w:t>
      </w:r>
      <w:r>
        <w:rPr>
          <w:spacing w:val="14"/>
        </w:rPr>
        <w:t>的注意事项及</w:t>
      </w:r>
    </w:p>
    <w:p>
      <w:pPr>
        <w:pStyle w:val="4"/>
        <w:spacing w:before="1" w:line="222" w:lineRule="auto"/>
        <w:ind w:left="30"/>
      </w:pPr>
      <w:r>
        <w:rPr>
          <w:spacing w:val="-1"/>
        </w:rPr>
        <w:t>技巧；</w:t>
      </w:r>
    </w:p>
    <w:p>
      <w:pPr>
        <w:pStyle w:val="4"/>
        <w:spacing w:before="133" w:line="420" w:lineRule="exact"/>
        <w:ind w:right="23"/>
        <w:jc w:val="left"/>
      </w:pPr>
      <w:r>
        <w:rPr>
          <w:rFonts w:hint="eastAsia" w:ascii="Times New Roman" w:hAnsi="Times New Roman" w:eastAsia="宋体" w:cs="Times New Roman"/>
          <w:spacing w:val="11"/>
          <w:position w:val="13"/>
          <w:lang w:val="en-US" w:eastAsia="zh-CN"/>
        </w:rPr>
        <w:t xml:space="preserve">    </w:t>
      </w:r>
      <w:r>
        <w:rPr>
          <w:rFonts w:ascii="Times New Roman" w:hAnsi="Times New Roman" w:eastAsia="Times New Roman" w:cs="Times New Roman"/>
          <w:spacing w:val="11"/>
          <w:position w:val="13"/>
        </w:rPr>
        <w:t>6.</w:t>
      </w:r>
      <w:r>
        <w:rPr>
          <w:spacing w:val="11"/>
          <w:position w:val="13"/>
        </w:rPr>
        <w:t>计量计价风险分担及实务应对</w:t>
      </w:r>
      <w:r>
        <w:rPr>
          <w:spacing w:val="-68"/>
          <w:position w:val="13"/>
        </w:rPr>
        <w:t xml:space="preserve"> </w:t>
      </w:r>
      <w:r>
        <w:rPr>
          <w:spacing w:val="11"/>
          <w:position w:val="13"/>
        </w:rPr>
        <w:t>，包括风险分担理论</w:t>
      </w:r>
      <w:r>
        <w:rPr>
          <w:spacing w:val="-70"/>
          <w:position w:val="13"/>
        </w:rPr>
        <w:t xml:space="preserve"> </w:t>
      </w:r>
      <w:r>
        <w:rPr>
          <w:spacing w:val="11"/>
          <w:position w:val="13"/>
        </w:rPr>
        <w:t>；返工工程计量、</w:t>
      </w:r>
      <w:r>
        <w:rPr>
          <w:rFonts w:hint="eastAsia"/>
          <w:spacing w:val="11"/>
          <w:position w:val="13"/>
          <w:lang w:val="en-US" w:eastAsia="zh-CN"/>
        </w:rPr>
        <w:t>新增工程计量；发承包双方如何规避造价风险；</w:t>
      </w:r>
    </w:p>
    <w:p>
      <w:pPr>
        <w:pStyle w:val="4"/>
        <w:spacing w:before="131" w:line="325" w:lineRule="auto"/>
        <w:ind w:left="29" w:right="90" w:firstLine="504"/>
        <w:rPr>
          <w:rFonts w:hint="default" w:eastAsia="仿宋"/>
          <w:lang w:val="en-US" w:eastAsia="zh-CN"/>
        </w:rPr>
      </w:pPr>
      <w:r>
        <w:rPr>
          <w:rFonts w:ascii="Times New Roman" w:hAnsi="Times New Roman" w:eastAsia="Times New Roman" w:cs="Times New Roman"/>
          <w:spacing w:val="12"/>
        </w:rPr>
        <w:t>7.</w:t>
      </w:r>
      <w:r>
        <w:rPr>
          <w:spacing w:val="12"/>
        </w:rPr>
        <w:t>措施项目清单缺漏项责任界定及实务应对，尤其是安全文明施工费的</w:t>
      </w:r>
      <w:r>
        <w:rPr>
          <w:spacing w:val="4"/>
        </w:rPr>
        <w:t xml:space="preserve"> </w:t>
      </w:r>
      <w:r>
        <w:rPr>
          <w:spacing w:val="13"/>
        </w:rPr>
        <w:t>计算与支付</w:t>
      </w:r>
      <w:r>
        <w:rPr>
          <w:spacing w:val="-50"/>
        </w:rPr>
        <w:t xml:space="preserve"> </w:t>
      </w:r>
      <w:r>
        <w:rPr>
          <w:spacing w:val="13"/>
        </w:rPr>
        <w:t>。包括危大工程安全专项施工方案</w:t>
      </w:r>
      <w:r>
        <w:rPr>
          <w:spacing w:val="-67"/>
        </w:rPr>
        <w:t xml:space="preserve"> </w:t>
      </w:r>
      <w:r>
        <w:rPr>
          <w:spacing w:val="13"/>
        </w:rPr>
        <w:t>、赶工措施费</w:t>
      </w:r>
      <w:r>
        <w:rPr>
          <w:spacing w:val="-67"/>
        </w:rPr>
        <w:t xml:space="preserve"> </w:t>
      </w:r>
      <w:r>
        <w:rPr>
          <w:spacing w:val="13"/>
        </w:rPr>
        <w:t>、优质工程措</w:t>
      </w:r>
      <w:r>
        <w:rPr>
          <w:rFonts w:hint="eastAsia"/>
          <w:spacing w:val="13"/>
          <w:lang w:val="en-US" w:eastAsia="zh-CN"/>
        </w:rPr>
        <w:t>施费等如何计取；</w:t>
      </w:r>
    </w:p>
    <w:p>
      <w:pPr>
        <w:pStyle w:val="4"/>
        <w:spacing w:before="131" w:line="422" w:lineRule="exact"/>
        <w:ind w:left="0" w:leftChars="0" w:firstLine="508" w:firstLineChars="200"/>
        <w:jc w:val="left"/>
      </w:pPr>
      <w:r>
        <w:rPr>
          <w:rFonts w:ascii="Times New Roman" w:hAnsi="Times New Roman" w:eastAsia="Times New Roman" w:cs="Times New Roman"/>
          <w:spacing w:val="7"/>
          <w:position w:val="13"/>
        </w:rPr>
        <w:t>8.</w:t>
      </w:r>
      <w:r>
        <w:rPr>
          <w:rFonts w:ascii="Times New Roman" w:hAnsi="Times New Roman" w:eastAsia="Times New Roman" w:cs="Times New Roman"/>
          <w:spacing w:val="-31"/>
          <w:position w:val="13"/>
        </w:rPr>
        <w:t xml:space="preserve"> </w:t>
      </w:r>
      <w:r>
        <w:rPr>
          <w:spacing w:val="7"/>
          <w:position w:val="13"/>
        </w:rPr>
        <w:t>其他项目计价</w:t>
      </w:r>
      <w:r>
        <w:rPr>
          <w:spacing w:val="-70"/>
          <w:position w:val="13"/>
        </w:rPr>
        <w:t xml:space="preserve"> </w:t>
      </w:r>
      <w:r>
        <w:rPr>
          <w:spacing w:val="7"/>
          <w:position w:val="13"/>
        </w:rPr>
        <w:t>，包括暂估价计价方式的合规风险分析</w:t>
      </w:r>
      <w:r>
        <w:rPr>
          <w:spacing w:val="-70"/>
          <w:position w:val="13"/>
        </w:rPr>
        <w:t xml:space="preserve"> </w:t>
      </w:r>
      <w:r>
        <w:rPr>
          <w:spacing w:val="7"/>
          <w:position w:val="13"/>
        </w:rPr>
        <w:t>，材料设备</w:t>
      </w:r>
      <w:r>
        <w:rPr>
          <w:spacing w:val="-70"/>
          <w:position w:val="13"/>
        </w:rPr>
        <w:t xml:space="preserve"> </w:t>
      </w:r>
      <w:r>
        <w:rPr>
          <w:spacing w:val="7"/>
          <w:position w:val="13"/>
        </w:rPr>
        <w:t>、专</w:t>
      </w:r>
      <w:r>
        <w:rPr>
          <w:rFonts w:hint="eastAsia"/>
          <w:spacing w:val="7"/>
          <w:position w:val="13"/>
          <w:lang w:val="en-US" w:eastAsia="zh-CN"/>
        </w:rPr>
        <w:t>业工程暂估价及总承包服务费计价案例；</w:t>
      </w:r>
    </w:p>
    <w:p>
      <w:pPr>
        <w:pStyle w:val="4"/>
        <w:spacing w:before="134" w:line="422" w:lineRule="exact"/>
        <w:ind w:left="534"/>
      </w:pPr>
      <w:r>
        <w:rPr>
          <w:rFonts w:ascii="Times New Roman" w:hAnsi="Times New Roman" w:eastAsia="Times New Roman" w:cs="Times New Roman"/>
          <w:spacing w:val="8"/>
          <w:position w:val="13"/>
        </w:rPr>
        <w:t>9.</w:t>
      </w:r>
      <w:r>
        <w:rPr>
          <w:rFonts w:ascii="Times New Roman" w:hAnsi="Times New Roman" w:eastAsia="Times New Roman" w:cs="Times New Roman"/>
          <w:spacing w:val="-28"/>
          <w:position w:val="13"/>
        </w:rPr>
        <w:t xml:space="preserve"> </w:t>
      </w:r>
      <w:r>
        <w:rPr>
          <w:spacing w:val="8"/>
          <w:position w:val="13"/>
        </w:rPr>
        <w:t>工程索赔</w:t>
      </w:r>
      <w:r>
        <w:rPr>
          <w:spacing w:val="-69"/>
          <w:position w:val="13"/>
        </w:rPr>
        <w:t xml:space="preserve"> </w:t>
      </w:r>
      <w:r>
        <w:rPr>
          <w:spacing w:val="8"/>
          <w:position w:val="13"/>
        </w:rPr>
        <w:t>、工程签证</w:t>
      </w:r>
      <w:r>
        <w:rPr>
          <w:spacing w:val="-69"/>
          <w:position w:val="13"/>
        </w:rPr>
        <w:t xml:space="preserve"> </w:t>
      </w:r>
      <w:r>
        <w:rPr>
          <w:spacing w:val="8"/>
          <w:position w:val="13"/>
        </w:rPr>
        <w:t>、工程变更等合同价格调整，包括影响索赔成功</w:t>
      </w:r>
    </w:p>
    <w:p>
      <w:pPr>
        <w:pStyle w:val="4"/>
        <w:spacing w:before="1" w:line="220" w:lineRule="auto"/>
        <w:jc w:val="right"/>
      </w:pPr>
      <w:r>
        <w:rPr>
          <w:spacing w:val="11"/>
        </w:rPr>
        <w:t>的关键性因素</w:t>
      </w:r>
      <w:r>
        <w:rPr>
          <w:spacing w:val="-55"/>
        </w:rPr>
        <w:t xml:space="preserve"> </w:t>
      </w:r>
      <w:r>
        <w:rPr>
          <w:spacing w:val="11"/>
        </w:rPr>
        <w:t>；工程变更估价原则的理解及适用；合同价款调整典型案例。</w:t>
      </w:r>
    </w:p>
    <w:p>
      <w:pPr>
        <w:pStyle w:val="4"/>
        <w:spacing w:before="157" w:line="222" w:lineRule="auto"/>
        <w:ind w:left="514"/>
        <w:outlineLvl w:val="0"/>
      </w:pPr>
      <w:r>
        <w:rPr>
          <w:spacing w:val="-1"/>
          <w14:textOutline w14:w="4358" w14:cap="sq" w14:cmpd="sng">
            <w14:solidFill>
              <w14:srgbClr w14:val="000000"/>
            </w14:solidFill>
            <w14:prstDash w14:val="solid"/>
            <w14:bevel/>
          </w14:textOutline>
        </w:rPr>
        <w:t>（六）工程结算及财政评审、审计风险应对实务</w:t>
      </w:r>
    </w:p>
    <w:p>
      <w:pPr>
        <w:pStyle w:val="4"/>
        <w:spacing w:before="78" w:line="222" w:lineRule="auto"/>
        <w:ind w:left="522"/>
      </w:pPr>
      <w:r>
        <w:rPr>
          <w:rFonts w:ascii="Times New Roman" w:hAnsi="Times New Roman" w:eastAsia="Times New Roman" w:cs="Times New Roman"/>
          <w:spacing w:val="-3"/>
        </w:rPr>
        <w:t>1.</w:t>
      </w:r>
      <w:r>
        <w:rPr>
          <w:spacing w:val="-3"/>
        </w:rPr>
        <w:t>结算策划及风险应对；</w:t>
      </w:r>
    </w:p>
    <w:p>
      <w:pPr>
        <w:pStyle w:val="4"/>
        <w:spacing w:before="115" w:line="293" w:lineRule="auto"/>
        <w:ind w:left="30" w:firstLine="468"/>
      </w:pPr>
      <w:r>
        <w:rPr>
          <w:rFonts w:ascii="Times New Roman" w:hAnsi="Times New Roman" w:eastAsia="Times New Roman" w:cs="Times New Roman"/>
          <w:spacing w:val="1"/>
        </w:rPr>
        <w:t>2.</w:t>
      </w:r>
      <w:r>
        <w:rPr>
          <w:spacing w:val="1"/>
        </w:rPr>
        <w:t>工程结算争议及风险的防范实务；包括造价争议，证据欠</w:t>
      </w:r>
      <w:r>
        <w:t xml:space="preserve">缺、计量争议、 </w:t>
      </w:r>
      <w:r>
        <w:rPr>
          <w:spacing w:val="-8"/>
        </w:rPr>
        <w:t>人工费发生争议、材料价格争议、工期索赔争议、费用索赔争议、暂停施工索赔、</w:t>
      </w:r>
      <w:r>
        <w:rPr>
          <w:spacing w:val="15"/>
        </w:rPr>
        <w:t xml:space="preserve"> </w:t>
      </w:r>
      <w:r>
        <w:rPr>
          <w:spacing w:val="-4"/>
        </w:rPr>
        <w:t xml:space="preserve">赶工费计取、工程签证争议。典型案例包括安全文明施工措施费计算的争议，关 于市场询价的材料、设备的计价争议，淤泥固化专业工程暂估价结算的争议，抢 险应急项目计价争议，专业定制产品材料价格调整的争议，沟槽土方转运费用问 </w:t>
      </w:r>
      <w:r>
        <w:rPr>
          <w:spacing w:val="-3"/>
        </w:rPr>
        <w:t>题的争议等等；</w:t>
      </w:r>
    </w:p>
    <w:p>
      <w:pPr>
        <w:pStyle w:val="4"/>
        <w:spacing w:before="112" w:line="286" w:lineRule="auto"/>
        <w:ind w:left="31" w:firstLine="472"/>
      </w:pPr>
      <w:r>
        <w:rPr>
          <w:rFonts w:ascii="Times New Roman" w:hAnsi="Times New Roman" w:eastAsia="Times New Roman" w:cs="Times New Roman"/>
          <w:spacing w:val="-1"/>
        </w:rPr>
        <w:t>3.</w:t>
      </w:r>
      <w:r>
        <w:rPr>
          <w:spacing w:val="-1"/>
        </w:rPr>
        <w:t>《建设项目过程结算管理标准》核心内容及过程结算</w:t>
      </w:r>
      <w:r>
        <w:rPr>
          <w:spacing w:val="-2"/>
        </w:rPr>
        <w:t>实务，主要包括：过</w:t>
      </w:r>
      <w:r>
        <w:t xml:space="preserve"> </w:t>
      </w:r>
      <w:r>
        <w:rPr>
          <w:spacing w:val="-8"/>
        </w:rPr>
        <w:t>程结算对发承包双方的意义、法规政策要求、过程结算的性质、过程结算的策划、</w:t>
      </w:r>
      <w:r>
        <w:rPr>
          <w:spacing w:val="14"/>
        </w:rPr>
        <w:t xml:space="preserve"> </w:t>
      </w:r>
      <w:r>
        <w:rPr>
          <w:spacing w:val="-1"/>
        </w:rPr>
        <w:t>节点划分的原则、过程结算的范围、结算资料的管理、专用合同条款的拟定等，</w:t>
      </w:r>
      <w:r>
        <w:rPr>
          <w:spacing w:val="1"/>
        </w:rPr>
        <w:t xml:space="preserve"> </w:t>
      </w:r>
      <w:r>
        <w:rPr>
          <w:spacing w:val="-2"/>
        </w:rPr>
        <w:t>过程结算典型案例；</w:t>
      </w:r>
    </w:p>
    <w:p>
      <w:pPr>
        <w:pStyle w:val="4"/>
        <w:spacing w:before="112" w:line="222" w:lineRule="auto"/>
        <w:ind w:left="497"/>
        <w:rPr>
          <w:spacing w:val="-2"/>
        </w:rPr>
      </w:pPr>
      <w:r>
        <w:rPr>
          <w:rFonts w:ascii="Times New Roman" w:hAnsi="Times New Roman" w:eastAsia="Times New Roman" w:cs="Times New Roman"/>
          <w:spacing w:val="-2"/>
        </w:rPr>
        <w:t>4.</w:t>
      </w:r>
      <w:r>
        <w:rPr>
          <w:spacing w:val="-2"/>
        </w:rPr>
        <w:t>工程结算、财政评审与政府审计</w:t>
      </w:r>
      <w:r>
        <w:rPr>
          <w:spacing w:val="-24"/>
        </w:rPr>
        <w:t xml:space="preserve"> </w:t>
      </w:r>
      <w:r>
        <w:rPr>
          <w:rFonts w:ascii="Times New Roman" w:hAnsi="Times New Roman" w:eastAsia="Times New Roman" w:cs="Times New Roman"/>
          <w:spacing w:val="-2"/>
        </w:rPr>
        <w:t>10</w:t>
      </w:r>
      <w:r>
        <w:rPr>
          <w:rFonts w:ascii="Times New Roman" w:hAnsi="Times New Roman" w:eastAsia="Times New Roman" w:cs="Times New Roman"/>
          <w:spacing w:val="17"/>
        </w:rPr>
        <w:t xml:space="preserve"> </w:t>
      </w:r>
      <w:r>
        <w:rPr>
          <w:spacing w:val="-2"/>
        </w:rPr>
        <w:t>个疑难问题与案例解析。</w:t>
      </w:r>
    </w:p>
    <w:p>
      <w:pPr>
        <w:pStyle w:val="4"/>
        <w:spacing w:before="112" w:line="222" w:lineRule="auto"/>
      </w:pPr>
      <w:r>
        <w:rPr>
          <w:spacing w:val="-7"/>
          <w14:textOutline w14:w="4358" w14:cap="sq" w14:cmpd="sng">
            <w14:solidFill>
              <w14:srgbClr w14:val="000000"/>
            </w14:solidFill>
            <w14:prstDash w14:val="solid"/>
            <w14:bevel/>
          </w14:textOutline>
        </w:rPr>
        <w:t>四、时间地点</w:t>
      </w:r>
    </w:p>
    <w:p>
      <w:pPr>
        <w:pStyle w:val="4"/>
        <w:spacing w:before="222" w:line="222" w:lineRule="auto"/>
        <w:ind w:left="512"/>
        <w:rPr>
          <w:rFonts w:hint="eastAsia"/>
          <w:spacing w:val="-2"/>
          <w:lang w:val="en-US" w:eastAsia="zh-CN"/>
        </w:rPr>
      </w:pPr>
      <w:r>
        <w:rPr>
          <w:rFonts w:hint="eastAsia"/>
          <w:spacing w:val="-2"/>
          <w:lang w:val="en-US" w:eastAsia="zh-CN"/>
        </w:rPr>
        <w:t>2024年6月20日-23日 （20日全天报到）   广州市</w:t>
      </w:r>
    </w:p>
    <w:p>
      <w:pPr>
        <w:pStyle w:val="4"/>
        <w:spacing w:before="222" w:line="222" w:lineRule="auto"/>
        <w:ind w:left="512"/>
      </w:pPr>
      <w:r>
        <w:rPr>
          <w:spacing w:val="-2"/>
        </w:rPr>
        <w:t>具体地点于开班前一周通知。</w:t>
      </w:r>
    </w:p>
    <w:p>
      <w:pPr>
        <w:pStyle w:val="4"/>
        <w:spacing w:before="179" w:line="222" w:lineRule="auto"/>
        <w:ind w:left="33"/>
      </w:pPr>
      <w:r>
        <w:rPr>
          <w:spacing w:val="-3"/>
          <w14:textOutline w14:w="4358" w14:cap="sq" w14:cmpd="sng">
            <w14:solidFill>
              <w14:srgbClr w14:val="000000"/>
            </w14:solidFill>
            <w14:prstDash w14:val="solid"/>
            <w14:bevel/>
          </w14:textOutline>
        </w:rPr>
        <w:t>五、相关费用</w:t>
      </w:r>
    </w:p>
    <w:p>
      <w:pPr>
        <w:pStyle w:val="4"/>
        <w:spacing w:before="180" w:line="468" w:lineRule="exact"/>
        <w:ind w:firstLine="456" w:firstLineChars="200"/>
        <w:jc w:val="both"/>
        <w:rPr>
          <w:rFonts w:hint="eastAsia"/>
          <w:spacing w:val="-7"/>
          <w:position w:val="17"/>
          <w:lang w:val="en-US" w:eastAsia="zh-CN"/>
        </w:rPr>
      </w:pPr>
      <w:r>
        <w:rPr>
          <w:spacing w:val="-6"/>
          <w:position w:val="17"/>
        </w:rPr>
        <w:t>培训费：3200</w:t>
      </w:r>
      <w:r>
        <w:rPr>
          <w:spacing w:val="-40"/>
          <w:position w:val="17"/>
        </w:rPr>
        <w:t xml:space="preserve"> </w:t>
      </w:r>
      <w:r>
        <w:rPr>
          <w:spacing w:val="-6"/>
          <w:position w:val="17"/>
        </w:rPr>
        <w:t>元/人（含专家费、资料</w:t>
      </w:r>
      <w:r>
        <w:rPr>
          <w:spacing w:val="-7"/>
          <w:position w:val="17"/>
        </w:rPr>
        <w:t>费、场地费、餐费</w:t>
      </w:r>
      <w:r>
        <w:rPr>
          <w:spacing w:val="-14"/>
          <w:position w:val="17"/>
        </w:rPr>
        <w:t>），</w:t>
      </w:r>
      <w:r>
        <w:rPr>
          <w:spacing w:val="-7"/>
          <w:position w:val="17"/>
        </w:rPr>
        <w:t>住宿统一安排，</w:t>
      </w:r>
      <w:r>
        <w:rPr>
          <w:rFonts w:hint="eastAsia"/>
          <w:spacing w:val="-7"/>
          <w:position w:val="17"/>
          <w:lang w:val="en-US" w:eastAsia="zh-CN"/>
        </w:rPr>
        <w:t>费用自理。</w:t>
      </w:r>
    </w:p>
    <w:p>
      <w:pPr>
        <w:pStyle w:val="4"/>
        <w:spacing w:before="179" w:line="222" w:lineRule="auto"/>
        <w:ind w:left="33"/>
        <w:rPr>
          <w:spacing w:val="-3"/>
          <w14:textOutline w14:w="4358" w14:cap="sq" w14:cmpd="sng">
            <w14:solidFill>
              <w14:srgbClr w14:val="000000"/>
            </w14:solidFill>
            <w14:prstDash w14:val="solid"/>
            <w14:bevel/>
          </w14:textOutline>
        </w:rPr>
      </w:pPr>
      <w:r>
        <w:rPr>
          <w:rFonts w:hint="eastAsia"/>
          <w:spacing w:val="-3"/>
          <w:lang w:val="en-US" w:eastAsia="zh-CN"/>
          <w14:textOutline w14:w="4358" w14:cap="sq" w14:cmpd="sng">
            <w14:solidFill>
              <w14:srgbClr w14:val="000000"/>
            </w14:solidFill>
            <w14:prstDash w14:val="solid"/>
            <w14:bevel/>
          </w14:textOutline>
        </w:rPr>
        <w:t>六</w:t>
      </w:r>
      <w:r>
        <w:rPr>
          <w:rFonts w:hint="eastAsia"/>
          <w:spacing w:val="-3"/>
          <w14:textOutline w14:w="4358" w14:cap="sq" w14:cmpd="sng">
            <w14:solidFill>
              <w14:srgbClr w14:val="000000"/>
            </w14:solidFill>
            <w14:prstDash w14:val="solid"/>
            <w14:bevel/>
          </w14:textOutline>
        </w:rPr>
        <w:t>、联系方式</w:t>
      </w:r>
    </w:p>
    <w:p>
      <w:pPr>
        <w:spacing w:line="360" w:lineRule="auto"/>
        <w:ind w:firstLine="480" w:firstLineChars="200"/>
        <w:rPr>
          <w:rFonts w:hint="eastAsia" w:ascii="仿宋" w:hAnsi="仿宋" w:eastAsia="仿宋" w:cs="仿宋"/>
          <w:kern w:val="0"/>
          <w:sz w:val="24"/>
          <w:lang w:bidi="ar"/>
        </w:rPr>
      </w:pPr>
      <w:r>
        <w:rPr>
          <w:rFonts w:hint="eastAsia" w:ascii="仿宋" w:hAnsi="仿宋" w:eastAsia="仿宋" w:cs="仿宋"/>
          <w:kern w:val="0"/>
          <w:sz w:val="24"/>
          <w:lang w:bidi="ar"/>
        </w:rPr>
        <w:t xml:space="preserve">报名负责人：聂红军 主任18211071700（微信）   </w:t>
      </w:r>
    </w:p>
    <w:p>
      <w:pPr>
        <w:spacing w:line="360" w:lineRule="auto"/>
        <w:ind w:firstLine="480" w:firstLineChars="200"/>
        <w:rPr>
          <w:rFonts w:hint="eastAsia" w:ascii="仿宋" w:hAnsi="仿宋" w:eastAsia="仿宋" w:cs="仿宋"/>
          <w:kern w:val="0"/>
          <w:sz w:val="24"/>
          <w:lang w:bidi="ar"/>
        </w:rPr>
      </w:pPr>
      <w:r>
        <w:rPr>
          <w:rFonts w:hint="eastAsia" w:ascii="仿宋" w:hAnsi="仿宋" w:eastAsia="仿宋" w:cs="仿宋"/>
          <w:kern w:val="0"/>
          <w:sz w:val="24"/>
          <w:lang w:bidi="ar"/>
        </w:rPr>
        <w:t xml:space="preserve">电    话：13141289128        邮    箱：zqgphwz@126.com  </w:t>
      </w:r>
    </w:p>
    <w:p>
      <w:pPr>
        <w:spacing w:line="360" w:lineRule="auto"/>
        <w:ind w:firstLine="480" w:firstLineChars="200"/>
        <w:rPr>
          <w:rFonts w:ascii="仿宋" w:hAnsi="仿宋" w:eastAsia="仿宋" w:cs="仿宋"/>
          <w:kern w:val="0"/>
          <w:sz w:val="24"/>
          <w:lang w:bidi="ar"/>
        </w:rPr>
      </w:pPr>
      <w:r>
        <w:rPr>
          <w:rFonts w:hint="eastAsia" w:ascii="仿宋" w:hAnsi="仿宋" w:eastAsia="仿宋" w:cs="仿宋"/>
          <w:kern w:val="0"/>
          <w:sz w:val="24"/>
          <w:lang w:bidi="ar"/>
        </w:rPr>
        <w:t>qq咨询：3177524020          网    址：http://www.zqgpchina.cn</w:t>
      </w:r>
      <w:r>
        <w:rPr>
          <w:rFonts w:hint="eastAsia" w:ascii="仿宋" w:hAnsi="仿宋" w:eastAsia="仿宋" w:cs="仿宋"/>
          <w:kern w:val="0"/>
          <w:sz w:val="24"/>
          <w:lang w:bidi="ar"/>
        </w:rPr>
        <w:drawing>
          <wp:anchor distT="0" distB="0" distL="114300" distR="114300" simplePos="0" relativeHeight="251660288" behindDoc="1" locked="0" layoutInCell="1" allowOverlap="1">
            <wp:simplePos x="0" y="0"/>
            <wp:positionH relativeFrom="column">
              <wp:posOffset>3258820</wp:posOffset>
            </wp:positionH>
            <wp:positionV relativeFrom="paragraph">
              <wp:posOffset>248285</wp:posOffset>
            </wp:positionV>
            <wp:extent cx="2679700" cy="1905000"/>
            <wp:effectExtent l="0" t="0" r="0" b="0"/>
            <wp:wrapNone/>
            <wp:docPr id="3" name="图片 3" descr="建术公章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建术公章12"/>
                    <pic:cNvPicPr>
                      <a:picLocks noChangeAspect="1"/>
                    </pic:cNvPicPr>
                  </pic:nvPicPr>
                  <pic:blipFill>
                    <a:blip r:embed="rId5"/>
                    <a:stretch>
                      <a:fillRect/>
                    </a:stretch>
                  </pic:blipFill>
                  <pic:spPr>
                    <a:xfrm>
                      <a:off x="0" y="0"/>
                      <a:ext cx="2679700" cy="1905000"/>
                    </a:xfrm>
                    <a:prstGeom prst="rect">
                      <a:avLst/>
                    </a:prstGeom>
                    <a:noFill/>
                    <a:ln>
                      <a:noFill/>
                    </a:ln>
                  </pic:spPr>
                </pic:pic>
              </a:graphicData>
            </a:graphic>
          </wp:anchor>
        </w:drawing>
      </w:r>
    </w:p>
    <w:p>
      <w:pPr>
        <w:rPr>
          <w:rFonts w:ascii="仿宋" w:hAnsi="仿宋" w:eastAsia="仿宋" w:cs="仿宋"/>
          <w:kern w:val="0"/>
          <w:sz w:val="24"/>
          <w:lang w:bidi="ar"/>
        </w:rPr>
      </w:pPr>
    </w:p>
    <w:p>
      <w:pPr>
        <w:jc w:val="center"/>
        <w:rPr>
          <w:rFonts w:ascii="仿宋" w:hAnsi="仿宋" w:eastAsia="仿宋" w:cs="仿宋"/>
          <w:kern w:val="0"/>
          <w:sz w:val="24"/>
          <w:lang w:bidi="ar"/>
        </w:rPr>
      </w:pPr>
    </w:p>
    <w:p>
      <w:pPr>
        <w:pStyle w:val="2"/>
        <w:rPr>
          <w:rFonts w:ascii="仿宋" w:hAnsi="仿宋" w:eastAsia="仿宋" w:cs="仿宋"/>
          <w:kern w:val="0"/>
          <w:sz w:val="24"/>
          <w:lang w:bidi="ar"/>
        </w:rPr>
      </w:pPr>
    </w:p>
    <w:p>
      <w:pPr>
        <w:pStyle w:val="2"/>
        <w:rPr>
          <w:rFonts w:ascii="仿宋" w:hAnsi="仿宋" w:eastAsia="仿宋" w:cs="仿宋"/>
          <w:kern w:val="0"/>
          <w:sz w:val="24"/>
          <w:lang w:bidi="ar"/>
        </w:rPr>
      </w:pPr>
    </w:p>
    <w:p>
      <w:pPr>
        <w:jc w:val="right"/>
      </w:pPr>
      <w:r>
        <w:rPr>
          <w:rFonts w:hint="eastAsia" w:ascii="仿宋" w:hAnsi="仿宋" w:eastAsia="仿宋" w:cs="仿宋"/>
          <w:kern w:val="0"/>
          <w:sz w:val="24"/>
          <w:lang w:bidi="ar"/>
        </w:rPr>
        <w:t>北京建术信息科技研究院有限公司</w:t>
      </w:r>
    </w:p>
    <w:p>
      <w:pPr>
        <w:tabs>
          <w:tab w:val="left" w:pos="8820"/>
          <w:tab w:val="left" w:pos="9240"/>
        </w:tabs>
        <w:ind w:right="480"/>
        <w:jc w:val="center"/>
        <w:rPr>
          <w:rFonts w:ascii="仿宋" w:hAnsi="仿宋" w:eastAsia="仿宋" w:cs="仿宋"/>
        </w:rPr>
      </w:pPr>
      <w:r>
        <w:rPr>
          <w:rFonts w:hint="eastAsia" w:ascii="仿宋" w:hAnsi="仿宋" w:eastAsia="仿宋" w:cs="仿宋"/>
          <w:kern w:val="0"/>
          <w:sz w:val="24"/>
          <w:lang w:bidi="ar"/>
        </w:rPr>
        <w:t xml:space="preserve">                                                202</w:t>
      </w:r>
      <w:r>
        <w:rPr>
          <w:rFonts w:hint="eastAsia" w:ascii="仿宋" w:hAnsi="仿宋" w:eastAsia="仿宋" w:cs="仿宋"/>
          <w:kern w:val="0"/>
          <w:sz w:val="24"/>
          <w:lang w:val="en-US" w:eastAsia="zh-CN" w:bidi="ar"/>
        </w:rPr>
        <w:t>4</w:t>
      </w:r>
      <w:r>
        <w:rPr>
          <w:rFonts w:hint="eastAsia" w:ascii="仿宋" w:hAnsi="仿宋" w:eastAsia="仿宋" w:cs="仿宋"/>
          <w:kern w:val="0"/>
          <w:sz w:val="24"/>
          <w:lang w:bidi="ar"/>
        </w:rPr>
        <w:t>年</w:t>
      </w:r>
      <w:r>
        <w:rPr>
          <w:rFonts w:hint="eastAsia" w:ascii="仿宋" w:hAnsi="仿宋" w:eastAsia="仿宋" w:cs="仿宋"/>
          <w:kern w:val="0"/>
          <w:sz w:val="24"/>
          <w:lang w:val="en-US" w:eastAsia="zh-CN" w:bidi="ar"/>
        </w:rPr>
        <w:t>5</w:t>
      </w:r>
      <w:r>
        <w:rPr>
          <w:rFonts w:hint="eastAsia" w:ascii="仿宋" w:hAnsi="仿宋" w:eastAsia="仿宋" w:cs="仿宋"/>
          <w:kern w:val="0"/>
          <w:sz w:val="24"/>
          <w:lang w:bidi="ar"/>
        </w:rPr>
        <w:t>月</w:t>
      </w:r>
      <w:r>
        <w:rPr>
          <w:rFonts w:hint="eastAsia" w:ascii="仿宋" w:hAnsi="仿宋" w:eastAsia="仿宋" w:cs="仿宋"/>
          <w:kern w:val="0"/>
          <w:sz w:val="24"/>
          <w:lang w:val="en-US" w:eastAsia="zh-CN" w:bidi="ar"/>
        </w:rPr>
        <w:t>17</w:t>
      </w:r>
      <w:r>
        <w:rPr>
          <w:rFonts w:hint="eastAsia" w:ascii="仿宋" w:hAnsi="仿宋" w:eastAsia="仿宋" w:cs="仿宋"/>
          <w:kern w:val="0"/>
          <w:sz w:val="24"/>
          <w:lang w:bidi="ar"/>
        </w:rPr>
        <w:t>日</w:t>
      </w:r>
    </w:p>
    <w:p>
      <w:pPr>
        <w:rPr>
          <w:rFonts w:hint="default"/>
          <w:lang w:val="en-US" w:eastAsia="zh-CN"/>
        </w:rPr>
      </w:pPr>
    </w:p>
    <w:p>
      <w:pPr>
        <w:pStyle w:val="4"/>
        <w:spacing w:before="180" w:line="468" w:lineRule="exact"/>
        <w:jc w:val="both"/>
        <w:rPr>
          <w:rFonts w:hint="eastAsia"/>
          <w:spacing w:val="-7"/>
          <w:position w:val="17"/>
          <w:lang w:val="en-US" w:eastAsia="zh-CN"/>
        </w:rPr>
      </w:pPr>
    </w:p>
    <w:p>
      <w:pPr>
        <w:pStyle w:val="4"/>
        <w:spacing w:before="180" w:line="468" w:lineRule="exact"/>
        <w:jc w:val="both"/>
        <w:rPr>
          <w:rFonts w:hint="eastAsia"/>
          <w:spacing w:val="-7"/>
          <w:position w:val="17"/>
          <w:lang w:val="en-US" w:eastAsia="zh-CN"/>
        </w:rPr>
      </w:pPr>
    </w:p>
    <w:p>
      <w:pPr>
        <w:pStyle w:val="4"/>
        <w:spacing w:before="180" w:line="468" w:lineRule="exact"/>
        <w:jc w:val="both"/>
        <w:rPr>
          <w:rFonts w:hint="eastAsia"/>
          <w:spacing w:val="-7"/>
          <w:position w:val="17"/>
          <w:lang w:val="en-US" w:eastAsia="zh-CN"/>
        </w:rPr>
      </w:pPr>
    </w:p>
    <w:p>
      <w:pPr>
        <w:tabs>
          <w:tab w:val="left" w:pos="712"/>
        </w:tabs>
        <w:bidi w:val="0"/>
        <w:jc w:val="left"/>
        <w:rPr>
          <w:rFonts w:hint="eastAsia"/>
          <w:lang w:val="en-US" w:eastAsia="zh-CN"/>
        </w:rPr>
      </w:pPr>
    </w:p>
    <w:p>
      <w:pPr>
        <w:pStyle w:val="4"/>
        <w:spacing w:before="180" w:line="468" w:lineRule="exact"/>
        <w:jc w:val="both"/>
        <w:rPr>
          <w:rFonts w:hint="eastAsia"/>
          <w:spacing w:val="-7"/>
          <w:position w:val="17"/>
          <w:lang w:val="en-US" w:eastAsia="zh-CN"/>
        </w:rPr>
      </w:pPr>
    </w:p>
    <w:p>
      <w:pPr>
        <w:pStyle w:val="4"/>
        <w:spacing w:before="180" w:line="468" w:lineRule="exact"/>
        <w:jc w:val="both"/>
        <w:rPr>
          <w:rFonts w:hint="eastAsia"/>
          <w:spacing w:val="-7"/>
          <w:position w:val="17"/>
          <w:lang w:val="en-US" w:eastAsia="zh-CN"/>
        </w:rPr>
      </w:pPr>
    </w:p>
    <w:p>
      <w:pPr>
        <w:spacing w:line="400" w:lineRule="exact"/>
        <w:ind w:right="80" w:rightChars="38"/>
        <w:rPr>
          <w:rStyle w:val="7"/>
          <w:rFonts w:ascii="黑体" w:hAnsi="黑体" w:eastAsia="黑体" w:cs="宋体"/>
          <w:color w:val="000000"/>
          <w:sz w:val="28"/>
          <w:szCs w:val="28"/>
        </w:rPr>
      </w:pPr>
      <w:r>
        <w:rPr>
          <w:rStyle w:val="7"/>
          <w:rFonts w:hint="eastAsia" w:ascii="黑体" w:hAnsi="黑体" w:eastAsia="黑体" w:cs="宋体"/>
          <w:color w:val="000000"/>
          <w:sz w:val="28"/>
          <w:szCs w:val="28"/>
        </w:rPr>
        <w:t>附件</w:t>
      </w:r>
      <w:r>
        <w:rPr>
          <w:rStyle w:val="7"/>
          <w:rFonts w:ascii="黑体" w:hAnsi="黑体" w:eastAsia="黑体" w:cs="宋体"/>
          <w:color w:val="000000"/>
          <w:sz w:val="28"/>
          <w:szCs w:val="28"/>
        </w:rPr>
        <w:t>1</w:t>
      </w:r>
      <w:r>
        <w:rPr>
          <w:rStyle w:val="7"/>
          <w:rFonts w:hint="eastAsia" w:ascii="黑体" w:hAnsi="黑体" w:eastAsia="黑体" w:cs="宋体"/>
          <w:color w:val="000000"/>
          <w:sz w:val="28"/>
          <w:szCs w:val="28"/>
        </w:rPr>
        <w:t>：</w:t>
      </w:r>
      <w:r>
        <w:rPr>
          <w:rStyle w:val="7"/>
          <w:rFonts w:ascii="黑体" w:hAnsi="黑体" w:eastAsia="黑体" w:cs="宋体"/>
          <w:color w:val="000000"/>
          <w:sz w:val="28"/>
          <w:szCs w:val="28"/>
        </w:rPr>
        <w:t xml:space="preserve">                   </w:t>
      </w:r>
    </w:p>
    <w:p>
      <w:pPr>
        <w:spacing w:line="400" w:lineRule="exact"/>
        <w:ind w:right="80" w:rightChars="38"/>
        <w:jc w:val="center"/>
        <w:rPr>
          <w:rFonts w:ascii="黑体" w:hAnsi="黑体" w:eastAsia="黑体" w:cs="Arial"/>
          <w:color w:val="000000"/>
          <w:sz w:val="32"/>
          <w:szCs w:val="32"/>
        </w:rPr>
      </w:pPr>
      <w:r>
        <w:rPr>
          <w:rFonts w:hint="eastAsia" w:ascii="黑体" w:hAnsi="黑体" w:eastAsia="黑体" w:cs="Arial"/>
          <w:color w:val="000000"/>
          <w:sz w:val="32"/>
          <w:szCs w:val="32"/>
        </w:rPr>
        <w:t>报名回执表</w:t>
      </w:r>
    </w:p>
    <w:tbl>
      <w:tblPr>
        <w:tblStyle w:val="5"/>
        <w:tblpPr w:leftFromText="180" w:rightFromText="180" w:vertAnchor="text" w:horzAnchor="page" w:tblpXSpec="center" w:tblpY="187"/>
        <w:tblOverlap w:val="never"/>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2"/>
        <w:gridCol w:w="935"/>
        <w:gridCol w:w="1208"/>
        <w:gridCol w:w="1417"/>
        <w:gridCol w:w="807"/>
        <w:gridCol w:w="1175"/>
        <w:gridCol w:w="504"/>
        <w:gridCol w:w="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932" w:type="dxa"/>
            <w:noWrap/>
            <w:vAlign w:val="center"/>
          </w:tcPr>
          <w:p>
            <w:pPr>
              <w:spacing w:line="360" w:lineRule="exact"/>
              <w:ind w:right="80" w:rightChars="38"/>
              <w:rPr>
                <w:rFonts w:ascii="仿宋" w:hAnsi="仿宋" w:eastAsia="仿宋" w:cs="仿宋"/>
                <w:bCs/>
                <w:sz w:val="24"/>
              </w:rPr>
            </w:pPr>
            <w:r>
              <w:rPr>
                <w:rFonts w:hint="eastAsia" w:ascii="仿宋" w:hAnsi="仿宋" w:eastAsia="仿宋" w:cs="仿宋"/>
                <w:bCs/>
                <w:sz w:val="24"/>
              </w:rPr>
              <w:t>单位名称</w:t>
            </w:r>
          </w:p>
        </w:tc>
        <w:tc>
          <w:tcPr>
            <w:tcW w:w="4371" w:type="dxa"/>
            <w:gridSpan w:val="4"/>
            <w:noWrap/>
            <w:vAlign w:val="center"/>
          </w:tcPr>
          <w:p>
            <w:pPr>
              <w:spacing w:line="360" w:lineRule="exact"/>
              <w:ind w:right="80" w:rightChars="38"/>
              <w:rPr>
                <w:rFonts w:ascii="仿宋" w:hAnsi="仿宋" w:eastAsia="仿宋" w:cs="仿宋"/>
                <w:bCs/>
                <w:sz w:val="24"/>
              </w:rPr>
            </w:pPr>
          </w:p>
        </w:tc>
        <w:tc>
          <w:tcPr>
            <w:tcW w:w="1176" w:type="dxa"/>
            <w:noWrap/>
            <w:vAlign w:val="center"/>
          </w:tcPr>
          <w:p>
            <w:pPr>
              <w:spacing w:line="360" w:lineRule="exact"/>
              <w:ind w:right="80" w:rightChars="38"/>
              <w:rPr>
                <w:rFonts w:ascii="仿宋" w:hAnsi="仿宋" w:eastAsia="仿宋" w:cs="仿宋"/>
                <w:bCs/>
                <w:sz w:val="24"/>
              </w:rPr>
            </w:pPr>
            <w:r>
              <w:rPr>
                <w:rFonts w:hint="eastAsia" w:ascii="仿宋" w:hAnsi="仿宋" w:eastAsia="仿宋" w:cs="仿宋"/>
                <w:bCs/>
                <w:sz w:val="24"/>
              </w:rPr>
              <w:t>邮编</w:t>
            </w:r>
          </w:p>
        </w:tc>
        <w:tc>
          <w:tcPr>
            <w:tcW w:w="1447" w:type="dxa"/>
            <w:gridSpan w:val="2"/>
            <w:noWrap/>
            <w:vAlign w:val="center"/>
          </w:tcPr>
          <w:p>
            <w:pPr>
              <w:spacing w:line="360" w:lineRule="exact"/>
              <w:ind w:left="149" w:right="80" w:rightChars="38" w:hanging="148" w:hangingChars="62"/>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932" w:type="dxa"/>
            <w:noWrap/>
            <w:vAlign w:val="center"/>
          </w:tcPr>
          <w:p>
            <w:pPr>
              <w:spacing w:line="360" w:lineRule="exact"/>
              <w:ind w:right="80" w:rightChars="38"/>
              <w:rPr>
                <w:rFonts w:ascii="仿宋" w:hAnsi="仿宋" w:eastAsia="仿宋" w:cs="仿宋"/>
                <w:bCs/>
                <w:sz w:val="24"/>
              </w:rPr>
            </w:pPr>
            <w:r>
              <w:rPr>
                <w:rFonts w:hint="eastAsia" w:ascii="仿宋" w:hAnsi="仿宋" w:eastAsia="仿宋" w:cs="仿宋"/>
                <w:bCs/>
                <w:sz w:val="24"/>
              </w:rPr>
              <w:t>详细地址</w:t>
            </w:r>
          </w:p>
        </w:tc>
        <w:tc>
          <w:tcPr>
            <w:tcW w:w="6994" w:type="dxa"/>
            <w:gridSpan w:val="7"/>
            <w:noWrap/>
            <w:vAlign w:val="center"/>
          </w:tcPr>
          <w:p>
            <w:pPr>
              <w:spacing w:line="360" w:lineRule="exact"/>
              <w:ind w:right="80" w:rightChars="38"/>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1932" w:type="dxa"/>
            <w:noWrap/>
            <w:vAlign w:val="center"/>
          </w:tcPr>
          <w:p>
            <w:pPr>
              <w:spacing w:line="360" w:lineRule="exact"/>
              <w:ind w:right="80" w:rightChars="38"/>
              <w:rPr>
                <w:rFonts w:ascii="仿宋" w:hAnsi="仿宋" w:eastAsia="仿宋" w:cs="仿宋"/>
                <w:bCs/>
                <w:sz w:val="24"/>
              </w:rPr>
            </w:pPr>
            <w:r>
              <w:rPr>
                <w:rFonts w:hint="eastAsia" w:ascii="仿宋" w:hAnsi="仿宋" w:eastAsia="仿宋" w:cs="仿宋"/>
                <w:bCs/>
                <w:sz w:val="24"/>
              </w:rPr>
              <w:t>联系人</w:t>
            </w:r>
          </w:p>
        </w:tc>
        <w:tc>
          <w:tcPr>
            <w:tcW w:w="3563" w:type="dxa"/>
            <w:gridSpan w:val="3"/>
            <w:noWrap/>
            <w:vAlign w:val="center"/>
          </w:tcPr>
          <w:p>
            <w:pPr>
              <w:spacing w:line="360" w:lineRule="exact"/>
              <w:ind w:right="80" w:rightChars="38"/>
              <w:rPr>
                <w:rFonts w:ascii="仿宋" w:hAnsi="仿宋" w:eastAsia="仿宋" w:cs="仿宋"/>
                <w:bCs/>
                <w:sz w:val="24"/>
              </w:rPr>
            </w:pPr>
          </w:p>
        </w:tc>
        <w:tc>
          <w:tcPr>
            <w:tcW w:w="1984" w:type="dxa"/>
            <w:gridSpan w:val="2"/>
            <w:noWrap/>
            <w:vAlign w:val="center"/>
          </w:tcPr>
          <w:p>
            <w:pPr>
              <w:keepNext/>
              <w:spacing w:line="360" w:lineRule="exact"/>
              <w:ind w:right="80" w:rightChars="38"/>
              <w:outlineLvl w:val="0"/>
              <w:rPr>
                <w:rFonts w:ascii="仿宋" w:hAnsi="仿宋" w:eastAsia="仿宋" w:cs="仿宋"/>
                <w:bCs/>
                <w:sz w:val="24"/>
              </w:rPr>
            </w:pPr>
            <w:r>
              <w:rPr>
                <w:rFonts w:hint="eastAsia" w:ascii="仿宋" w:hAnsi="仿宋" w:eastAsia="仿宋" w:cs="仿宋"/>
                <w:bCs/>
                <w:sz w:val="24"/>
              </w:rPr>
              <w:t>E-mail</w:t>
            </w:r>
          </w:p>
        </w:tc>
        <w:tc>
          <w:tcPr>
            <w:tcW w:w="1447" w:type="dxa"/>
            <w:gridSpan w:val="2"/>
            <w:noWrap/>
            <w:vAlign w:val="center"/>
          </w:tcPr>
          <w:p>
            <w:pPr>
              <w:spacing w:line="360" w:lineRule="exact"/>
              <w:ind w:right="80" w:rightChars="38"/>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932" w:type="dxa"/>
            <w:noWrap/>
            <w:vAlign w:val="center"/>
          </w:tcPr>
          <w:p>
            <w:pPr>
              <w:spacing w:line="360" w:lineRule="exact"/>
              <w:ind w:right="80" w:rightChars="38"/>
              <w:rPr>
                <w:rFonts w:ascii="仿宋" w:hAnsi="仿宋" w:eastAsia="仿宋" w:cs="仿宋"/>
                <w:bCs/>
                <w:sz w:val="24"/>
              </w:rPr>
            </w:pPr>
            <w:r>
              <w:rPr>
                <w:rFonts w:hint="eastAsia" w:ascii="仿宋" w:hAnsi="仿宋" w:eastAsia="仿宋" w:cs="仿宋"/>
                <w:bCs/>
                <w:sz w:val="24"/>
              </w:rPr>
              <w:t>电话（区号）</w:t>
            </w:r>
          </w:p>
        </w:tc>
        <w:tc>
          <w:tcPr>
            <w:tcW w:w="3563" w:type="dxa"/>
            <w:gridSpan w:val="3"/>
            <w:noWrap/>
            <w:vAlign w:val="center"/>
          </w:tcPr>
          <w:p>
            <w:pPr>
              <w:spacing w:line="360" w:lineRule="exact"/>
              <w:ind w:right="80" w:rightChars="38"/>
              <w:rPr>
                <w:rFonts w:ascii="仿宋" w:hAnsi="仿宋" w:eastAsia="仿宋" w:cs="仿宋"/>
                <w:bCs/>
                <w:sz w:val="24"/>
              </w:rPr>
            </w:pPr>
          </w:p>
        </w:tc>
        <w:tc>
          <w:tcPr>
            <w:tcW w:w="1984" w:type="dxa"/>
            <w:gridSpan w:val="2"/>
            <w:noWrap/>
            <w:vAlign w:val="center"/>
          </w:tcPr>
          <w:p>
            <w:pPr>
              <w:spacing w:line="360" w:lineRule="exact"/>
              <w:ind w:right="80" w:rightChars="38"/>
              <w:rPr>
                <w:rFonts w:ascii="仿宋" w:hAnsi="仿宋" w:eastAsia="仿宋" w:cs="仿宋"/>
                <w:bCs/>
                <w:sz w:val="24"/>
              </w:rPr>
            </w:pPr>
            <w:r>
              <w:rPr>
                <w:rFonts w:hint="eastAsia" w:ascii="仿宋" w:hAnsi="仿宋" w:eastAsia="仿宋" w:cs="仿宋"/>
                <w:bCs/>
                <w:sz w:val="24"/>
              </w:rPr>
              <w:t>传真</w:t>
            </w:r>
          </w:p>
        </w:tc>
        <w:tc>
          <w:tcPr>
            <w:tcW w:w="1447" w:type="dxa"/>
            <w:gridSpan w:val="2"/>
            <w:noWrap/>
            <w:vAlign w:val="center"/>
          </w:tcPr>
          <w:p>
            <w:pPr>
              <w:spacing w:line="360" w:lineRule="exact"/>
              <w:ind w:right="80" w:rightChars="38"/>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932" w:type="dxa"/>
            <w:noWrap/>
            <w:vAlign w:val="center"/>
          </w:tcPr>
          <w:p>
            <w:pPr>
              <w:spacing w:line="360" w:lineRule="exact"/>
              <w:ind w:right="80" w:rightChars="38"/>
              <w:jc w:val="center"/>
              <w:rPr>
                <w:rFonts w:ascii="仿宋" w:hAnsi="仿宋" w:eastAsia="仿宋" w:cs="仿宋"/>
                <w:bCs/>
                <w:sz w:val="24"/>
              </w:rPr>
            </w:pPr>
            <w:r>
              <w:rPr>
                <w:rFonts w:hint="eastAsia" w:ascii="仿宋" w:hAnsi="仿宋" w:eastAsia="仿宋" w:cs="仿宋"/>
                <w:bCs/>
                <w:sz w:val="24"/>
              </w:rPr>
              <w:t>参班代表姓名</w:t>
            </w:r>
          </w:p>
        </w:tc>
        <w:tc>
          <w:tcPr>
            <w:tcW w:w="936" w:type="dxa"/>
            <w:noWrap/>
            <w:vAlign w:val="center"/>
          </w:tcPr>
          <w:p>
            <w:pPr>
              <w:spacing w:line="360" w:lineRule="exact"/>
              <w:ind w:right="80" w:rightChars="38"/>
              <w:jc w:val="center"/>
              <w:rPr>
                <w:rFonts w:ascii="仿宋" w:hAnsi="仿宋" w:eastAsia="仿宋" w:cs="仿宋"/>
                <w:bCs/>
                <w:sz w:val="24"/>
              </w:rPr>
            </w:pPr>
            <w:r>
              <w:rPr>
                <w:rFonts w:hint="eastAsia" w:ascii="仿宋" w:hAnsi="仿宋" w:eastAsia="仿宋" w:cs="仿宋"/>
                <w:bCs/>
                <w:sz w:val="24"/>
              </w:rPr>
              <w:t>性别</w:t>
            </w:r>
          </w:p>
        </w:tc>
        <w:tc>
          <w:tcPr>
            <w:tcW w:w="1209" w:type="dxa"/>
            <w:noWrap/>
            <w:vAlign w:val="center"/>
          </w:tcPr>
          <w:p>
            <w:pPr>
              <w:spacing w:line="360" w:lineRule="exact"/>
              <w:ind w:right="80" w:rightChars="38"/>
              <w:jc w:val="center"/>
              <w:rPr>
                <w:rFonts w:ascii="仿宋" w:hAnsi="仿宋" w:eastAsia="仿宋" w:cs="仿宋"/>
                <w:bCs/>
                <w:sz w:val="24"/>
              </w:rPr>
            </w:pPr>
            <w:r>
              <w:rPr>
                <w:rFonts w:hint="eastAsia" w:ascii="仿宋" w:hAnsi="仿宋" w:eastAsia="仿宋" w:cs="仿宋"/>
                <w:bCs/>
                <w:sz w:val="24"/>
              </w:rPr>
              <w:t>部门</w:t>
            </w:r>
          </w:p>
        </w:tc>
        <w:tc>
          <w:tcPr>
            <w:tcW w:w="1418" w:type="dxa"/>
            <w:noWrap/>
            <w:vAlign w:val="center"/>
          </w:tcPr>
          <w:p>
            <w:pPr>
              <w:spacing w:line="360" w:lineRule="exact"/>
              <w:ind w:right="80" w:rightChars="38"/>
              <w:jc w:val="center"/>
              <w:rPr>
                <w:rFonts w:ascii="仿宋" w:hAnsi="仿宋" w:eastAsia="仿宋" w:cs="仿宋"/>
                <w:bCs/>
                <w:sz w:val="24"/>
              </w:rPr>
            </w:pPr>
            <w:r>
              <w:rPr>
                <w:rFonts w:hint="eastAsia" w:ascii="仿宋" w:hAnsi="仿宋" w:eastAsia="仿宋" w:cs="仿宋"/>
                <w:bCs/>
                <w:sz w:val="24"/>
              </w:rPr>
              <w:t>职务</w:t>
            </w:r>
          </w:p>
        </w:tc>
        <w:tc>
          <w:tcPr>
            <w:tcW w:w="1984" w:type="dxa"/>
            <w:gridSpan w:val="2"/>
            <w:noWrap/>
            <w:vAlign w:val="center"/>
          </w:tcPr>
          <w:p>
            <w:pPr>
              <w:spacing w:line="360" w:lineRule="exact"/>
              <w:ind w:right="80" w:rightChars="38"/>
              <w:jc w:val="center"/>
              <w:rPr>
                <w:rFonts w:ascii="仿宋" w:hAnsi="仿宋" w:eastAsia="仿宋" w:cs="仿宋"/>
                <w:bCs/>
                <w:sz w:val="24"/>
              </w:rPr>
            </w:pPr>
            <w:r>
              <w:rPr>
                <w:rFonts w:hint="eastAsia" w:ascii="仿宋" w:hAnsi="仿宋" w:eastAsia="仿宋" w:cs="仿宋"/>
                <w:bCs/>
                <w:sz w:val="24"/>
              </w:rPr>
              <w:t>手机</w:t>
            </w:r>
          </w:p>
        </w:tc>
        <w:tc>
          <w:tcPr>
            <w:tcW w:w="1447" w:type="dxa"/>
            <w:gridSpan w:val="2"/>
            <w:noWrap/>
            <w:vAlign w:val="center"/>
          </w:tcPr>
          <w:p>
            <w:pPr>
              <w:spacing w:line="360" w:lineRule="exact"/>
              <w:ind w:right="80" w:rightChars="38"/>
              <w:jc w:val="center"/>
              <w:rPr>
                <w:rFonts w:ascii="仿宋" w:hAnsi="仿宋" w:eastAsia="仿宋" w:cs="仿宋"/>
                <w:bCs/>
                <w:sz w:val="24"/>
              </w:rPr>
            </w:pPr>
            <w:r>
              <w:rPr>
                <w:rFonts w:hint="eastAsia" w:ascii="仿宋" w:hAnsi="仿宋" w:eastAsia="仿宋" w:cs="仿宋"/>
                <w:bCs/>
                <w:sz w:val="24"/>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932" w:type="dxa"/>
            <w:noWrap/>
            <w:vAlign w:val="center"/>
          </w:tcPr>
          <w:p>
            <w:pPr>
              <w:spacing w:line="360" w:lineRule="exact"/>
              <w:ind w:right="80" w:rightChars="38"/>
              <w:rPr>
                <w:rFonts w:ascii="仿宋" w:hAnsi="仿宋" w:eastAsia="仿宋" w:cs="仿宋"/>
                <w:bCs/>
                <w:sz w:val="24"/>
              </w:rPr>
            </w:pPr>
          </w:p>
        </w:tc>
        <w:tc>
          <w:tcPr>
            <w:tcW w:w="936" w:type="dxa"/>
            <w:noWrap/>
            <w:vAlign w:val="center"/>
          </w:tcPr>
          <w:p>
            <w:pPr>
              <w:spacing w:line="360" w:lineRule="exact"/>
              <w:ind w:right="80" w:rightChars="38"/>
              <w:rPr>
                <w:rFonts w:ascii="仿宋" w:hAnsi="仿宋" w:eastAsia="仿宋" w:cs="仿宋"/>
                <w:bCs/>
                <w:sz w:val="24"/>
              </w:rPr>
            </w:pPr>
          </w:p>
        </w:tc>
        <w:tc>
          <w:tcPr>
            <w:tcW w:w="1209" w:type="dxa"/>
            <w:noWrap/>
            <w:vAlign w:val="center"/>
          </w:tcPr>
          <w:p>
            <w:pPr>
              <w:spacing w:line="360" w:lineRule="exact"/>
              <w:ind w:right="80" w:rightChars="38"/>
              <w:rPr>
                <w:rFonts w:ascii="仿宋" w:hAnsi="仿宋" w:eastAsia="仿宋" w:cs="仿宋"/>
                <w:bCs/>
                <w:sz w:val="24"/>
              </w:rPr>
            </w:pPr>
          </w:p>
        </w:tc>
        <w:tc>
          <w:tcPr>
            <w:tcW w:w="1418" w:type="dxa"/>
            <w:noWrap/>
            <w:vAlign w:val="center"/>
          </w:tcPr>
          <w:p>
            <w:pPr>
              <w:spacing w:line="360" w:lineRule="exact"/>
              <w:ind w:right="80" w:rightChars="38"/>
              <w:rPr>
                <w:rFonts w:ascii="仿宋" w:hAnsi="仿宋" w:eastAsia="仿宋" w:cs="仿宋"/>
                <w:bCs/>
                <w:sz w:val="24"/>
              </w:rPr>
            </w:pPr>
          </w:p>
        </w:tc>
        <w:tc>
          <w:tcPr>
            <w:tcW w:w="1984" w:type="dxa"/>
            <w:gridSpan w:val="2"/>
            <w:noWrap/>
            <w:vAlign w:val="center"/>
          </w:tcPr>
          <w:p>
            <w:pPr>
              <w:spacing w:line="360" w:lineRule="exact"/>
              <w:ind w:right="80" w:rightChars="38"/>
              <w:rPr>
                <w:rFonts w:ascii="仿宋" w:hAnsi="仿宋" w:eastAsia="仿宋" w:cs="仿宋"/>
                <w:bCs/>
                <w:sz w:val="24"/>
              </w:rPr>
            </w:pPr>
          </w:p>
        </w:tc>
        <w:tc>
          <w:tcPr>
            <w:tcW w:w="1447" w:type="dxa"/>
            <w:gridSpan w:val="2"/>
            <w:noWrap/>
            <w:vAlign w:val="center"/>
          </w:tcPr>
          <w:p>
            <w:pPr>
              <w:spacing w:line="360" w:lineRule="exact"/>
              <w:ind w:right="80" w:rightChars="38"/>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932" w:type="dxa"/>
            <w:noWrap/>
            <w:vAlign w:val="center"/>
          </w:tcPr>
          <w:p>
            <w:pPr>
              <w:spacing w:line="360" w:lineRule="exact"/>
              <w:ind w:right="80" w:rightChars="38"/>
              <w:rPr>
                <w:rFonts w:ascii="仿宋" w:hAnsi="仿宋" w:eastAsia="仿宋" w:cs="仿宋"/>
                <w:bCs/>
                <w:sz w:val="24"/>
              </w:rPr>
            </w:pPr>
          </w:p>
        </w:tc>
        <w:tc>
          <w:tcPr>
            <w:tcW w:w="936" w:type="dxa"/>
            <w:noWrap/>
            <w:vAlign w:val="center"/>
          </w:tcPr>
          <w:p>
            <w:pPr>
              <w:spacing w:line="360" w:lineRule="exact"/>
              <w:ind w:right="80" w:rightChars="38"/>
              <w:rPr>
                <w:rFonts w:ascii="仿宋" w:hAnsi="仿宋" w:eastAsia="仿宋" w:cs="仿宋"/>
                <w:bCs/>
                <w:sz w:val="24"/>
              </w:rPr>
            </w:pPr>
          </w:p>
        </w:tc>
        <w:tc>
          <w:tcPr>
            <w:tcW w:w="1209" w:type="dxa"/>
            <w:noWrap/>
            <w:vAlign w:val="center"/>
          </w:tcPr>
          <w:p>
            <w:pPr>
              <w:spacing w:line="360" w:lineRule="exact"/>
              <w:ind w:right="80" w:rightChars="38"/>
              <w:rPr>
                <w:rFonts w:ascii="仿宋" w:hAnsi="仿宋" w:eastAsia="仿宋" w:cs="仿宋"/>
                <w:bCs/>
                <w:sz w:val="24"/>
              </w:rPr>
            </w:pPr>
          </w:p>
        </w:tc>
        <w:tc>
          <w:tcPr>
            <w:tcW w:w="1418" w:type="dxa"/>
            <w:noWrap/>
            <w:vAlign w:val="center"/>
          </w:tcPr>
          <w:p>
            <w:pPr>
              <w:spacing w:line="360" w:lineRule="exact"/>
              <w:ind w:right="80" w:rightChars="38"/>
              <w:rPr>
                <w:rFonts w:ascii="仿宋" w:hAnsi="仿宋" w:eastAsia="仿宋" w:cs="仿宋"/>
                <w:bCs/>
                <w:sz w:val="24"/>
              </w:rPr>
            </w:pPr>
          </w:p>
        </w:tc>
        <w:tc>
          <w:tcPr>
            <w:tcW w:w="1984" w:type="dxa"/>
            <w:gridSpan w:val="2"/>
            <w:noWrap/>
            <w:vAlign w:val="center"/>
          </w:tcPr>
          <w:p>
            <w:pPr>
              <w:spacing w:line="360" w:lineRule="exact"/>
              <w:ind w:right="80" w:rightChars="38"/>
              <w:rPr>
                <w:rFonts w:ascii="仿宋" w:hAnsi="仿宋" w:eastAsia="仿宋" w:cs="仿宋"/>
                <w:bCs/>
                <w:sz w:val="24"/>
              </w:rPr>
            </w:pPr>
          </w:p>
        </w:tc>
        <w:tc>
          <w:tcPr>
            <w:tcW w:w="1447" w:type="dxa"/>
            <w:gridSpan w:val="2"/>
            <w:noWrap/>
            <w:vAlign w:val="center"/>
          </w:tcPr>
          <w:p>
            <w:pPr>
              <w:spacing w:line="360" w:lineRule="exact"/>
              <w:ind w:right="80" w:rightChars="38"/>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932" w:type="dxa"/>
            <w:noWrap/>
            <w:vAlign w:val="center"/>
          </w:tcPr>
          <w:p>
            <w:pPr>
              <w:spacing w:line="360" w:lineRule="exact"/>
              <w:ind w:right="80" w:rightChars="38"/>
              <w:rPr>
                <w:rFonts w:ascii="仿宋" w:hAnsi="仿宋" w:eastAsia="仿宋" w:cs="仿宋"/>
                <w:bCs/>
                <w:sz w:val="24"/>
              </w:rPr>
            </w:pPr>
          </w:p>
        </w:tc>
        <w:tc>
          <w:tcPr>
            <w:tcW w:w="936" w:type="dxa"/>
            <w:noWrap/>
            <w:vAlign w:val="center"/>
          </w:tcPr>
          <w:p>
            <w:pPr>
              <w:spacing w:line="360" w:lineRule="exact"/>
              <w:ind w:right="80" w:rightChars="38"/>
              <w:rPr>
                <w:rFonts w:ascii="仿宋" w:hAnsi="仿宋" w:eastAsia="仿宋" w:cs="仿宋"/>
                <w:bCs/>
                <w:sz w:val="24"/>
              </w:rPr>
            </w:pPr>
          </w:p>
        </w:tc>
        <w:tc>
          <w:tcPr>
            <w:tcW w:w="1209" w:type="dxa"/>
            <w:noWrap/>
            <w:vAlign w:val="center"/>
          </w:tcPr>
          <w:p>
            <w:pPr>
              <w:spacing w:line="360" w:lineRule="exact"/>
              <w:ind w:right="80" w:rightChars="38"/>
              <w:rPr>
                <w:rFonts w:ascii="仿宋" w:hAnsi="仿宋" w:eastAsia="仿宋" w:cs="仿宋"/>
                <w:bCs/>
                <w:sz w:val="24"/>
              </w:rPr>
            </w:pPr>
          </w:p>
        </w:tc>
        <w:tc>
          <w:tcPr>
            <w:tcW w:w="1418" w:type="dxa"/>
            <w:noWrap/>
            <w:vAlign w:val="center"/>
          </w:tcPr>
          <w:p>
            <w:pPr>
              <w:spacing w:line="360" w:lineRule="exact"/>
              <w:ind w:right="80" w:rightChars="38"/>
              <w:rPr>
                <w:rFonts w:ascii="仿宋" w:hAnsi="仿宋" w:eastAsia="仿宋" w:cs="仿宋"/>
                <w:bCs/>
                <w:sz w:val="24"/>
              </w:rPr>
            </w:pPr>
          </w:p>
        </w:tc>
        <w:tc>
          <w:tcPr>
            <w:tcW w:w="1984" w:type="dxa"/>
            <w:gridSpan w:val="2"/>
            <w:noWrap/>
            <w:vAlign w:val="center"/>
          </w:tcPr>
          <w:p>
            <w:pPr>
              <w:spacing w:line="360" w:lineRule="exact"/>
              <w:ind w:right="80" w:rightChars="38"/>
              <w:rPr>
                <w:rFonts w:ascii="仿宋" w:hAnsi="仿宋" w:eastAsia="仿宋" w:cs="仿宋"/>
                <w:bCs/>
                <w:sz w:val="24"/>
              </w:rPr>
            </w:pPr>
          </w:p>
        </w:tc>
        <w:tc>
          <w:tcPr>
            <w:tcW w:w="1447" w:type="dxa"/>
            <w:gridSpan w:val="2"/>
            <w:noWrap/>
            <w:vAlign w:val="center"/>
          </w:tcPr>
          <w:p>
            <w:pPr>
              <w:spacing w:line="360" w:lineRule="exact"/>
              <w:ind w:right="80" w:rightChars="38"/>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932" w:type="dxa"/>
            <w:noWrap/>
            <w:vAlign w:val="center"/>
          </w:tcPr>
          <w:p>
            <w:pPr>
              <w:spacing w:line="360" w:lineRule="exact"/>
              <w:ind w:right="80" w:rightChars="38"/>
              <w:rPr>
                <w:rFonts w:ascii="仿宋" w:hAnsi="仿宋" w:eastAsia="仿宋" w:cs="仿宋"/>
                <w:bCs/>
                <w:sz w:val="24"/>
              </w:rPr>
            </w:pPr>
          </w:p>
        </w:tc>
        <w:tc>
          <w:tcPr>
            <w:tcW w:w="936" w:type="dxa"/>
            <w:noWrap/>
            <w:vAlign w:val="center"/>
          </w:tcPr>
          <w:p>
            <w:pPr>
              <w:spacing w:line="360" w:lineRule="exact"/>
              <w:ind w:right="80" w:rightChars="38"/>
              <w:rPr>
                <w:rFonts w:ascii="仿宋" w:hAnsi="仿宋" w:eastAsia="仿宋" w:cs="仿宋"/>
                <w:bCs/>
                <w:sz w:val="24"/>
              </w:rPr>
            </w:pPr>
          </w:p>
        </w:tc>
        <w:tc>
          <w:tcPr>
            <w:tcW w:w="1209" w:type="dxa"/>
            <w:noWrap/>
            <w:vAlign w:val="center"/>
          </w:tcPr>
          <w:p>
            <w:pPr>
              <w:spacing w:line="360" w:lineRule="exact"/>
              <w:ind w:right="80" w:rightChars="38"/>
              <w:rPr>
                <w:rFonts w:ascii="仿宋" w:hAnsi="仿宋" w:eastAsia="仿宋" w:cs="仿宋"/>
                <w:bCs/>
                <w:sz w:val="24"/>
              </w:rPr>
            </w:pPr>
          </w:p>
        </w:tc>
        <w:tc>
          <w:tcPr>
            <w:tcW w:w="1418" w:type="dxa"/>
            <w:noWrap/>
            <w:vAlign w:val="center"/>
          </w:tcPr>
          <w:p>
            <w:pPr>
              <w:spacing w:line="360" w:lineRule="exact"/>
              <w:ind w:right="80" w:rightChars="38"/>
              <w:rPr>
                <w:rFonts w:ascii="仿宋" w:hAnsi="仿宋" w:eastAsia="仿宋" w:cs="仿宋"/>
                <w:bCs/>
                <w:sz w:val="24"/>
              </w:rPr>
            </w:pPr>
          </w:p>
        </w:tc>
        <w:tc>
          <w:tcPr>
            <w:tcW w:w="1984" w:type="dxa"/>
            <w:gridSpan w:val="2"/>
            <w:noWrap/>
            <w:vAlign w:val="center"/>
          </w:tcPr>
          <w:p>
            <w:pPr>
              <w:spacing w:line="360" w:lineRule="exact"/>
              <w:ind w:right="80" w:rightChars="38"/>
              <w:rPr>
                <w:rFonts w:ascii="仿宋" w:hAnsi="仿宋" w:eastAsia="仿宋" w:cs="仿宋"/>
                <w:bCs/>
                <w:sz w:val="24"/>
              </w:rPr>
            </w:pPr>
          </w:p>
        </w:tc>
        <w:tc>
          <w:tcPr>
            <w:tcW w:w="1447" w:type="dxa"/>
            <w:gridSpan w:val="2"/>
            <w:noWrap/>
            <w:vAlign w:val="center"/>
          </w:tcPr>
          <w:p>
            <w:pPr>
              <w:spacing w:line="360" w:lineRule="exact"/>
              <w:ind w:right="80" w:rightChars="38"/>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932" w:type="dxa"/>
            <w:noWrap/>
            <w:vAlign w:val="center"/>
          </w:tcPr>
          <w:p>
            <w:pPr>
              <w:spacing w:line="360" w:lineRule="exact"/>
              <w:ind w:right="80" w:rightChars="38"/>
              <w:rPr>
                <w:rFonts w:ascii="仿宋" w:hAnsi="仿宋" w:eastAsia="仿宋" w:cs="仿宋"/>
                <w:bCs/>
                <w:sz w:val="24"/>
              </w:rPr>
            </w:pPr>
          </w:p>
        </w:tc>
        <w:tc>
          <w:tcPr>
            <w:tcW w:w="936" w:type="dxa"/>
            <w:noWrap/>
            <w:vAlign w:val="center"/>
          </w:tcPr>
          <w:p>
            <w:pPr>
              <w:spacing w:line="360" w:lineRule="exact"/>
              <w:ind w:right="80" w:rightChars="38"/>
              <w:rPr>
                <w:rFonts w:ascii="仿宋" w:hAnsi="仿宋" w:eastAsia="仿宋" w:cs="仿宋"/>
                <w:bCs/>
                <w:sz w:val="24"/>
              </w:rPr>
            </w:pPr>
          </w:p>
        </w:tc>
        <w:tc>
          <w:tcPr>
            <w:tcW w:w="1209" w:type="dxa"/>
            <w:noWrap/>
            <w:vAlign w:val="center"/>
          </w:tcPr>
          <w:p>
            <w:pPr>
              <w:spacing w:line="360" w:lineRule="exact"/>
              <w:ind w:right="80" w:rightChars="38"/>
              <w:rPr>
                <w:rFonts w:ascii="仿宋" w:hAnsi="仿宋" w:eastAsia="仿宋" w:cs="仿宋"/>
                <w:bCs/>
                <w:sz w:val="24"/>
              </w:rPr>
            </w:pPr>
          </w:p>
        </w:tc>
        <w:tc>
          <w:tcPr>
            <w:tcW w:w="1418" w:type="dxa"/>
            <w:noWrap/>
            <w:vAlign w:val="center"/>
          </w:tcPr>
          <w:p>
            <w:pPr>
              <w:spacing w:line="360" w:lineRule="exact"/>
              <w:ind w:right="80" w:rightChars="38"/>
              <w:rPr>
                <w:rFonts w:ascii="仿宋" w:hAnsi="仿宋" w:eastAsia="仿宋" w:cs="仿宋"/>
                <w:bCs/>
                <w:sz w:val="24"/>
              </w:rPr>
            </w:pPr>
          </w:p>
        </w:tc>
        <w:tc>
          <w:tcPr>
            <w:tcW w:w="1984" w:type="dxa"/>
            <w:gridSpan w:val="2"/>
            <w:noWrap/>
            <w:vAlign w:val="center"/>
          </w:tcPr>
          <w:p>
            <w:pPr>
              <w:spacing w:line="360" w:lineRule="exact"/>
              <w:ind w:right="80" w:rightChars="38"/>
              <w:rPr>
                <w:rFonts w:ascii="仿宋" w:hAnsi="仿宋" w:eastAsia="仿宋" w:cs="仿宋"/>
                <w:bCs/>
                <w:sz w:val="24"/>
              </w:rPr>
            </w:pPr>
          </w:p>
        </w:tc>
        <w:tc>
          <w:tcPr>
            <w:tcW w:w="1447" w:type="dxa"/>
            <w:gridSpan w:val="2"/>
            <w:noWrap/>
            <w:vAlign w:val="center"/>
          </w:tcPr>
          <w:p>
            <w:pPr>
              <w:spacing w:line="360" w:lineRule="exact"/>
              <w:ind w:right="80" w:rightChars="38"/>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932" w:type="dxa"/>
            <w:noWrap/>
            <w:vAlign w:val="center"/>
          </w:tcPr>
          <w:p>
            <w:pPr>
              <w:spacing w:line="360" w:lineRule="exact"/>
              <w:ind w:right="80" w:rightChars="38"/>
              <w:rPr>
                <w:rFonts w:ascii="仿宋" w:hAnsi="仿宋" w:eastAsia="仿宋" w:cs="仿宋"/>
                <w:bCs/>
                <w:sz w:val="24"/>
              </w:rPr>
            </w:pPr>
          </w:p>
        </w:tc>
        <w:tc>
          <w:tcPr>
            <w:tcW w:w="936" w:type="dxa"/>
            <w:noWrap/>
            <w:vAlign w:val="center"/>
          </w:tcPr>
          <w:p>
            <w:pPr>
              <w:spacing w:line="360" w:lineRule="exact"/>
              <w:ind w:right="80" w:rightChars="38"/>
              <w:rPr>
                <w:rFonts w:ascii="仿宋" w:hAnsi="仿宋" w:eastAsia="仿宋" w:cs="仿宋"/>
                <w:bCs/>
                <w:sz w:val="24"/>
              </w:rPr>
            </w:pPr>
          </w:p>
        </w:tc>
        <w:tc>
          <w:tcPr>
            <w:tcW w:w="1209" w:type="dxa"/>
            <w:noWrap/>
            <w:vAlign w:val="center"/>
          </w:tcPr>
          <w:p>
            <w:pPr>
              <w:spacing w:line="360" w:lineRule="exact"/>
              <w:ind w:right="80" w:rightChars="38"/>
              <w:rPr>
                <w:rFonts w:ascii="仿宋" w:hAnsi="仿宋" w:eastAsia="仿宋" w:cs="仿宋"/>
                <w:bCs/>
                <w:sz w:val="24"/>
              </w:rPr>
            </w:pPr>
          </w:p>
        </w:tc>
        <w:tc>
          <w:tcPr>
            <w:tcW w:w="1418" w:type="dxa"/>
            <w:noWrap/>
            <w:vAlign w:val="center"/>
          </w:tcPr>
          <w:p>
            <w:pPr>
              <w:spacing w:line="360" w:lineRule="exact"/>
              <w:ind w:right="80" w:rightChars="38"/>
              <w:rPr>
                <w:rFonts w:ascii="仿宋" w:hAnsi="仿宋" w:eastAsia="仿宋" w:cs="仿宋"/>
                <w:bCs/>
                <w:sz w:val="24"/>
              </w:rPr>
            </w:pPr>
          </w:p>
        </w:tc>
        <w:tc>
          <w:tcPr>
            <w:tcW w:w="1984" w:type="dxa"/>
            <w:gridSpan w:val="2"/>
            <w:noWrap/>
            <w:vAlign w:val="center"/>
          </w:tcPr>
          <w:p>
            <w:pPr>
              <w:spacing w:line="360" w:lineRule="exact"/>
              <w:ind w:right="80" w:rightChars="38"/>
              <w:rPr>
                <w:rFonts w:ascii="仿宋" w:hAnsi="仿宋" w:eastAsia="仿宋" w:cs="仿宋"/>
                <w:bCs/>
                <w:sz w:val="24"/>
              </w:rPr>
            </w:pPr>
          </w:p>
        </w:tc>
        <w:tc>
          <w:tcPr>
            <w:tcW w:w="1447" w:type="dxa"/>
            <w:gridSpan w:val="2"/>
            <w:noWrap/>
            <w:vAlign w:val="center"/>
          </w:tcPr>
          <w:p>
            <w:pPr>
              <w:spacing w:line="360" w:lineRule="exact"/>
              <w:ind w:right="80" w:rightChars="38"/>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32" w:type="dxa"/>
            <w:noWrap/>
            <w:vAlign w:val="center"/>
          </w:tcPr>
          <w:p>
            <w:pPr>
              <w:spacing w:line="360" w:lineRule="exact"/>
              <w:ind w:right="80" w:rightChars="38"/>
              <w:rPr>
                <w:rFonts w:ascii="仿宋" w:hAnsi="仿宋" w:eastAsia="仿宋" w:cs="仿宋"/>
                <w:bCs/>
                <w:sz w:val="24"/>
              </w:rPr>
            </w:pPr>
          </w:p>
        </w:tc>
        <w:tc>
          <w:tcPr>
            <w:tcW w:w="936" w:type="dxa"/>
            <w:noWrap/>
            <w:vAlign w:val="center"/>
          </w:tcPr>
          <w:p>
            <w:pPr>
              <w:spacing w:line="360" w:lineRule="exact"/>
              <w:ind w:right="80" w:rightChars="38"/>
              <w:rPr>
                <w:rFonts w:ascii="仿宋" w:hAnsi="仿宋" w:eastAsia="仿宋" w:cs="仿宋"/>
                <w:bCs/>
                <w:sz w:val="24"/>
              </w:rPr>
            </w:pPr>
          </w:p>
        </w:tc>
        <w:tc>
          <w:tcPr>
            <w:tcW w:w="1209" w:type="dxa"/>
            <w:noWrap/>
            <w:vAlign w:val="center"/>
          </w:tcPr>
          <w:p>
            <w:pPr>
              <w:spacing w:line="360" w:lineRule="exact"/>
              <w:ind w:right="80" w:rightChars="38"/>
              <w:rPr>
                <w:rFonts w:ascii="仿宋" w:hAnsi="仿宋" w:eastAsia="仿宋" w:cs="仿宋"/>
                <w:bCs/>
                <w:sz w:val="24"/>
              </w:rPr>
            </w:pPr>
          </w:p>
        </w:tc>
        <w:tc>
          <w:tcPr>
            <w:tcW w:w="1418" w:type="dxa"/>
            <w:noWrap/>
            <w:vAlign w:val="center"/>
          </w:tcPr>
          <w:p>
            <w:pPr>
              <w:spacing w:line="360" w:lineRule="exact"/>
              <w:ind w:right="80" w:rightChars="38"/>
              <w:rPr>
                <w:rFonts w:ascii="仿宋" w:hAnsi="仿宋" w:eastAsia="仿宋" w:cs="仿宋"/>
                <w:bCs/>
                <w:sz w:val="24"/>
              </w:rPr>
            </w:pPr>
          </w:p>
        </w:tc>
        <w:tc>
          <w:tcPr>
            <w:tcW w:w="1984" w:type="dxa"/>
            <w:gridSpan w:val="2"/>
            <w:noWrap/>
            <w:vAlign w:val="center"/>
          </w:tcPr>
          <w:p>
            <w:pPr>
              <w:spacing w:line="360" w:lineRule="exact"/>
              <w:ind w:right="80" w:rightChars="38"/>
              <w:rPr>
                <w:rFonts w:ascii="仿宋" w:hAnsi="仿宋" w:eastAsia="仿宋" w:cs="仿宋"/>
                <w:bCs/>
                <w:sz w:val="24"/>
              </w:rPr>
            </w:pPr>
          </w:p>
        </w:tc>
        <w:tc>
          <w:tcPr>
            <w:tcW w:w="1447" w:type="dxa"/>
            <w:gridSpan w:val="2"/>
            <w:noWrap/>
            <w:vAlign w:val="center"/>
          </w:tcPr>
          <w:p>
            <w:pPr>
              <w:spacing w:line="360" w:lineRule="exact"/>
              <w:ind w:right="80" w:rightChars="38"/>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32" w:type="dxa"/>
            <w:noWrap/>
            <w:vAlign w:val="center"/>
          </w:tcPr>
          <w:p>
            <w:pPr>
              <w:spacing w:line="360" w:lineRule="exact"/>
              <w:ind w:right="80" w:rightChars="38"/>
              <w:rPr>
                <w:rFonts w:ascii="仿宋" w:hAnsi="仿宋" w:eastAsia="仿宋" w:cs="仿宋"/>
                <w:bCs/>
                <w:sz w:val="24"/>
              </w:rPr>
            </w:pPr>
          </w:p>
        </w:tc>
        <w:tc>
          <w:tcPr>
            <w:tcW w:w="936" w:type="dxa"/>
            <w:noWrap/>
            <w:vAlign w:val="center"/>
          </w:tcPr>
          <w:p>
            <w:pPr>
              <w:spacing w:line="360" w:lineRule="exact"/>
              <w:ind w:right="80" w:rightChars="38"/>
              <w:rPr>
                <w:rFonts w:ascii="仿宋" w:hAnsi="仿宋" w:eastAsia="仿宋" w:cs="仿宋"/>
                <w:bCs/>
                <w:sz w:val="24"/>
              </w:rPr>
            </w:pPr>
          </w:p>
        </w:tc>
        <w:tc>
          <w:tcPr>
            <w:tcW w:w="1209" w:type="dxa"/>
            <w:noWrap/>
            <w:vAlign w:val="center"/>
          </w:tcPr>
          <w:p>
            <w:pPr>
              <w:spacing w:line="360" w:lineRule="exact"/>
              <w:ind w:right="80" w:rightChars="38"/>
              <w:rPr>
                <w:rFonts w:ascii="仿宋" w:hAnsi="仿宋" w:eastAsia="仿宋" w:cs="仿宋"/>
                <w:bCs/>
                <w:sz w:val="24"/>
              </w:rPr>
            </w:pPr>
          </w:p>
        </w:tc>
        <w:tc>
          <w:tcPr>
            <w:tcW w:w="1418" w:type="dxa"/>
            <w:noWrap/>
            <w:vAlign w:val="center"/>
          </w:tcPr>
          <w:p>
            <w:pPr>
              <w:spacing w:line="360" w:lineRule="exact"/>
              <w:ind w:right="80" w:rightChars="38"/>
              <w:rPr>
                <w:rFonts w:ascii="仿宋" w:hAnsi="仿宋" w:eastAsia="仿宋" w:cs="仿宋"/>
                <w:bCs/>
                <w:sz w:val="24"/>
              </w:rPr>
            </w:pPr>
          </w:p>
        </w:tc>
        <w:tc>
          <w:tcPr>
            <w:tcW w:w="1984" w:type="dxa"/>
            <w:gridSpan w:val="2"/>
            <w:noWrap/>
            <w:vAlign w:val="center"/>
          </w:tcPr>
          <w:p>
            <w:pPr>
              <w:spacing w:line="360" w:lineRule="exact"/>
              <w:ind w:right="80" w:rightChars="38"/>
              <w:rPr>
                <w:rFonts w:ascii="仿宋" w:hAnsi="仿宋" w:eastAsia="仿宋" w:cs="仿宋"/>
                <w:bCs/>
                <w:sz w:val="24"/>
              </w:rPr>
            </w:pPr>
          </w:p>
        </w:tc>
        <w:tc>
          <w:tcPr>
            <w:tcW w:w="1447" w:type="dxa"/>
            <w:gridSpan w:val="2"/>
            <w:noWrap/>
            <w:vAlign w:val="center"/>
          </w:tcPr>
          <w:p>
            <w:pPr>
              <w:spacing w:line="360" w:lineRule="exact"/>
              <w:ind w:right="80" w:rightChars="38"/>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32" w:type="dxa"/>
            <w:noWrap/>
            <w:vAlign w:val="center"/>
          </w:tcPr>
          <w:p>
            <w:pPr>
              <w:spacing w:line="360" w:lineRule="exact"/>
              <w:ind w:right="80" w:rightChars="38"/>
              <w:rPr>
                <w:rFonts w:ascii="仿宋" w:hAnsi="仿宋" w:eastAsia="仿宋" w:cs="仿宋"/>
                <w:bCs/>
                <w:sz w:val="24"/>
              </w:rPr>
            </w:pPr>
            <w:r>
              <w:rPr>
                <w:rFonts w:hint="eastAsia" w:ascii="仿宋" w:hAnsi="仿宋" w:eastAsia="仿宋" w:cs="仿宋"/>
                <w:bCs/>
                <w:sz w:val="24"/>
              </w:rPr>
              <w:t>住宿安排</w:t>
            </w:r>
          </w:p>
        </w:tc>
        <w:tc>
          <w:tcPr>
            <w:tcW w:w="6994" w:type="dxa"/>
            <w:gridSpan w:val="7"/>
            <w:noWrap/>
            <w:vAlign w:val="center"/>
          </w:tcPr>
          <w:p>
            <w:pPr>
              <w:spacing w:line="360" w:lineRule="exact"/>
              <w:ind w:right="80" w:rightChars="38"/>
              <w:rPr>
                <w:rFonts w:ascii="仿宋" w:hAnsi="仿宋" w:eastAsia="仿宋" w:cs="仿宋"/>
                <w:bCs/>
                <w:sz w:val="24"/>
              </w:rPr>
            </w:pPr>
            <w:r>
              <w:rPr>
                <w:rFonts w:hint="eastAsia" w:ascii="仿宋" w:hAnsi="仿宋" w:eastAsia="仿宋" w:cs="仿宋"/>
                <w:bCs/>
                <w:sz w:val="24"/>
              </w:rPr>
              <w:t>□单间    □标间   订房数量</w:t>
            </w:r>
            <w:r>
              <w:rPr>
                <w:rFonts w:hint="eastAsia" w:ascii="仿宋" w:hAnsi="仿宋" w:eastAsia="仿宋" w:cs="仿宋"/>
                <w:bCs/>
                <w:sz w:val="24"/>
                <w:u w:val="single"/>
              </w:rPr>
              <w:t xml:space="preserve">    </w:t>
            </w:r>
            <w:r>
              <w:rPr>
                <w:rFonts w:hint="eastAsia" w:ascii="仿宋" w:hAnsi="仿宋" w:eastAsia="仿宋" w:cs="仿宋"/>
                <w:bCs/>
                <w:sz w:val="24"/>
              </w:rPr>
              <w:t>间    □否    □自行安排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trPr>
        <w:tc>
          <w:tcPr>
            <w:tcW w:w="1932" w:type="dxa"/>
            <w:noWrap/>
            <w:vAlign w:val="center"/>
          </w:tcPr>
          <w:p>
            <w:pPr>
              <w:spacing w:line="360" w:lineRule="exact"/>
              <w:ind w:right="80" w:rightChars="38"/>
              <w:rPr>
                <w:rFonts w:ascii="仿宋" w:hAnsi="仿宋" w:eastAsia="仿宋" w:cs="仿宋"/>
                <w:bCs/>
                <w:sz w:val="24"/>
              </w:rPr>
            </w:pPr>
            <w:r>
              <w:rPr>
                <w:rFonts w:hint="eastAsia" w:ascii="仿宋" w:hAnsi="仿宋" w:eastAsia="仿宋" w:cs="仿宋"/>
                <w:bCs/>
                <w:sz w:val="24"/>
              </w:rPr>
              <w:t>参会地点</w:t>
            </w:r>
          </w:p>
        </w:tc>
        <w:tc>
          <w:tcPr>
            <w:tcW w:w="4365" w:type="dxa"/>
            <w:gridSpan w:val="4"/>
            <w:noWrap/>
            <w:vAlign w:val="center"/>
          </w:tcPr>
          <w:p>
            <w:pPr>
              <w:spacing w:line="360" w:lineRule="exact"/>
              <w:ind w:right="80" w:rightChars="38"/>
              <w:jc w:val="center"/>
              <w:rPr>
                <w:rFonts w:hint="default" w:ascii="仿宋" w:hAnsi="仿宋" w:eastAsia="仿宋" w:cs="仿宋"/>
                <w:bCs/>
                <w:sz w:val="24"/>
                <w:lang w:val="en-US" w:eastAsia="zh-CN"/>
              </w:rPr>
            </w:pPr>
            <w:r>
              <w:rPr>
                <w:rFonts w:hint="eastAsia" w:ascii="仿宋" w:hAnsi="仿宋" w:eastAsia="仿宋" w:cs="仿宋"/>
                <w:bCs/>
                <w:sz w:val="24"/>
              </w:rPr>
              <w:t xml:space="preserve"> </w:t>
            </w:r>
            <w:r>
              <w:rPr>
                <w:rFonts w:hint="eastAsia" w:ascii="仿宋" w:hAnsi="仿宋" w:eastAsia="仿宋" w:cs="仿宋"/>
                <w:bCs/>
                <w:sz w:val="24"/>
                <w:lang w:val="en-US" w:eastAsia="zh-CN"/>
              </w:rPr>
              <w:t xml:space="preserve"> </w:t>
            </w:r>
            <w:r>
              <w:rPr>
                <w:rFonts w:hint="eastAsia" w:ascii="仿宋" w:hAnsi="仿宋" w:eastAsia="仿宋" w:cs="仿宋"/>
                <w:bCs/>
                <w:sz w:val="24"/>
                <w:lang w:eastAsia="zh-CN"/>
              </w:rPr>
              <w:t>□</w:t>
            </w:r>
            <w:r>
              <w:rPr>
                <w:rFonts w:hint="eastAsia" w:ascii="仿宋" w:hAnsi="仿宋" w:eastAsia="仿宋" w:cs="仿宋"/>
                <w:bCs/>
                <w:sz w:val="24"/>
                <w:lang w:val="en-US" w:eastAsia="zh-CN"/>
              </w:rPr>
              <w:t>广州</w:t>
            </w:r>
          </w:p>
        </w:tc>
        <w:tc>
          <w:tcPr>
            <w:tcW w:w="1680" w:type="dxa"/>
            <w:gridSpan w:val="2"/>
            <w:noWrap/>
            <w:vAlign w:val="center"/>
          </w:tcPr>
          <w:p>
            <w:pPr>
              <w:spacing w:line="360" w:lineRule="exact"/>
              <w:ind w:right="80" w:rightChars="38"/>
              <w:rPr>
                <w:rFonts w:ascii="仿宋" w:hAnsi="仿宋" w:eastAsia="仿宋" w:cs="仿宋"/>
                <w:bCs/>
                <w:sz w:val="24"/>
              </w:rPr>
            </w:pPr>
            <w:r>
              <w:rPr>
                <w:rFonts w:hint="eastAsia" w:ascii="仿宋" w:hAnsi="仿宋" w:eastAsia="仿宋" w:cs="仿宋"/>
                <w:bCs/>
                <w:sz w:val="24"/>
              </w:rPr>
              <w:t>培训费用</w:t>
            </w:r>
          </w:p>
        </w:tc>
        <w:tc>
          <w:tcPr>
            <w:tcW w:w="949" w:type="dxa"/>
            <w:noWrap/>
            <w:vAlign w:val="center"/>
          </w:tcPr>
          <w:p>
            <w:pPr>
              <w:spacing w:line="360" w:lineRule="exact"/>
              <w:ind w:right="80" w:rightChars="38"/>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trPr>
        <w:tc>
          <w:tcPr>
            <w:tcW w:w="1932" w:type="dxa"/>
            <w:noWrap/>
            <w:vAlign w:val="center"/>
          </w:tcPr>
          <w:p>
            <w:pPr>
              <w:spacing w:line="360" w:lineRule="exact"/>
              <w:ind w:right="80" w:rightChars="38"/>
              <w:rPr>
                <w:rFonts w:ascii="仿宋" w:hAnsi="仿宋" w:eastAsia="仿宋" w:cs="仿宋"/>
                <w:bCs/>
                <w:sz w:val="24"/>
              </w:rPr>
            </w:pPr>
            <w:r>
              <w:rPr>
                <w:rFonts w:hint="eastAsia" w:ascii="仿宋" w:hAnsi="仿宋" w:eastAsia="仿宋" w:cs="仿宋"/>
                <w:bCs/>
                <w:sz w:val="24"/>
              </w:rPr>
              <w:t>付款方式</w:t>
            </w:r>
          </w:p>
        </w:tc>
        <w:tc>
          <w:tcPr>
            <w:tcW w:w="6994" w:type="dxa"/>
            <w:gridSpan w:val="7"/>
            <w:noWrap/>
            <w:vAlign w:val="center"/>
          </w:tcPr>
          <w:p>
            <w:pPr>
              <w:spacing w:line="360" w:lineRule="exact"/>
              <w:ind w:right="80" w:rightChars="38" w:firstLine="240" w:firstLineChars="100"/>
              <w:rPr>
                <w:rFonts w:ascii="仿宋" w:hAnsi="仿宋" w:eastAsia="仿宋" w:cs="仿宋"/>
                <w:bCs/>
                <w:sz w:val="24"/>
              </w:rPr>
            </w:pPr>
            <w:r>
              <w:rPr>
                <w:rFonts w:hint="eastAsia" w:ascii="仿宋" w:hAnsi="仿宋" w:eastAsia="仿宋" w:cs="仿宋"/>
                <w:bCs/>
                <w:sz w:val="24"/>
              </w:rPr>
              <w:t>□通过银行        □刷卡      □现金   □微信/支付宝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932" w:type="dxa"/>
            <w:noWrap/>
            <w:vAlign w:val="center"/>
          </w:tcPr>
          <w:p>
            <w:pPr>
              <w:ind w:right="80" w:rightChars="38"/>
              <w:rPr>
                <w:rFonts w:ascii="仿宋" w:hAnsi="仿宋" w:eastAsia="仿宋" w:cs="仿宋"/>
                <w:b/>
                <w:bCs/>
                <w:sz w:val="24"/>
                <w:lang w:val="zh-CN" w:bidi="zh-CN"/>
              </w:rPr>
            </w:pPr>
            <w:r>
              <w:rPr>
                <w:rFonts w:hint="eastAsia" w:ascii="仿宋" w:hAnsi="仿宋" w:eastAsia="仿宋" w:cs="仿宋"/>
                <w:b/>
                <w:bCs/>
                <w:sz w:val="24"/>
              </w:rPr>
              <w:t>发票类别</w:t>
            </w:r>
          </w:p>
        </w:tc>
        <w:tc>
          <w:tcPr>
            <w:tcW w:w="6994" w:type="dxa"/>
            <w:gridSpan w:val="7"/>
            <w:noWrap/>
            <w:vAlign w:val="top"/>
          </w:tcPr>
          <w:p>
            <w:pPr>
              <w:ind w:right="80" w:rightChars="38"/>
              <w:rPr>
                <w:rFonts w:ascii="仿宋" w:hAnsi="仿宋" w:eastAsia="仿宋" w:cs="仿宋"/>
                <w:b/>
                <w:bCs/>
                <w:sz w:val="24"/>
              </w:rPr>
            </w:pPr>
            <w:r>
              <w:rPr>
                <w:rFonts w:hint="eastAsia" w:ascii="仿宋" w:hAnsi="仿宋" w:eastAsia="仿宋" w:cs="仿宋"/>
                <w:b/>
                <w:bCs/>
                <w:sz w:val="24"/>
              </w:rPr>
              <w:t>增值税（</w:t>
            </w:r>
            <w:r>
              <w:rPr>
                <w:rFonts w:hint="eastAsia" w:ascii="仿宋" w:hAnsi="仿宋" w:eastAsia="仿宋" w:cs="仿宋"/>
                <w:bCs/>
                <w:sz w:val="24"/>
              </w:rPr>
              <w:t>□</w:t>
            </w:r>
            <w:r>
              <w:rPr>
                <w:rFonts w:hint="eastAsia" w:ascii="仿宋" w:hAnsi="仿宋" w:eastAsia="仿宋" w:cs="仿宋"/>
                <w:b/>
                <w:bCs/>
                <w:sz w:val="24"/>
              </w:rPr>
              <w:t>普通□专用）发票,开票信息如下：</w:t>
            </w:r>
          </w:p>
          <w:p>
            <w:pPr>
              <w:ind w:right="80" w:rightChars="38"/>
              <w:rPr>
                <w:rFonts w:ascii="仿宋" w:hAnsi="仿宋" w:eastAsia="仿宋" w:cs="仿宋"/>
                <w:b/>
                <w:bCs/>
                <w:sz w:val="24"/>
              </w:rPr>
            </w:pPr>
            <w:r>
              <w:rPr>
                <w:rFonts w:hint="eastAsia" w:ascii="仿宋" w:hAnsi="仿宋" w:eastAsia="仿宋" w:cs="仿宋"/>
                <w:b/>
                <w:bCs/>
                <w:sz w:val="24"/>
              </w:rPr>
              <w:t>单 位 名 称：</w:t>
            </w:r>
          </w:p>
          <w:p>
            <w:pPr>
              <w:ind w:right="80" w:rightChars="38"/>
              <w:rPr>
                <w:rFonts w:ascii="仿宋" w:hAnsi="仿宋" w:eastAsia="仿宋" w:cs="仿宋"/>
                <w:b/>
                <w:bCs/>
                <w:sz w:val="24"/>
              </w:rPr>
            </w:pPr>
            <w:r>
              <w:rPr>
                <w:rFonts w:hint="eastAsia" w:ascii="仿宋" w:hAnsi="仿宋" w:eastAsia="仿宋" w:cs="仿宋"/>
                <w:b/>
                <w:bCs/>
                <w:sz w:val="24"/>
              </w:rPr>
              <w:t>税       号：</w:t>
            </w:r>
          </w:p>
          <w:p>
            <w:pPr>
              <w:ind w:right="80" w:rightChars="38"/>
              <w:rPr>
                <w:rFonts w:ascii="仿宋" w:hAnsi="仿宋" w:eastAsia="仿宋" w:cs="仿宋"/>
                <w:b/>
                <w:bCs/>
                <w:sz w:val="24"/>
              </w:rPr>
            </w:pPr>
            <w:r>
              <w:rPr>
                <w:rFonts w:hint="eastAsia" w:ascii="仿宋" w:hAnsi="仿宋" w:eastAsia="仿宋" w:cs="仿宋"/>
                <w:b/>
                <w:bCs/>
                <w:sz w:val="24"/>
              </w:rPr>
              <w:t>地址、 电话：</w:t>
            </w:r>
          </w:p>
          <w:p>
            <w:pPr>
              <w:ind w:right="80" w:rightChars="38"/>
              <w:rPr>
                <w:rFonts w:ascii="仿宋" w:hAnsi="仿宋" w:eastAsia="仿宋" w:cs="仿宋"/>
                <w:bCs/>
                <w:sz w:val="24"/>
              </w:rPr>
            </w:pPr>
            <w:r>
              <w:rPr>
                <w:rFonts w:hint="eastAsia" w:ascii="仿宋" w:hAnsi="仿宋" w:eastAsia="仿宋" w:cs="仿宋"/>
                <w:b/>
                <w:bCs/>
                <w:sz w:val="24"/>
              </w:rPr>
              <w:t>开户行、账号：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932" w:type="dxa"/>
            <w:noWrap/>
            <w:vAlign w:val="center"/>
          </w:tcPr>
          <w:p>
            <w:pPr>
              <w:spacing w:line="360" w:lineRule="exact"/>
              <w:ind w:right="80" w:rightChars="38"/>
              <w:rPr>
                <w:rFonts w:ascii="仿宋" w:hAnsi="仿宋" w:eastAsia="仿宋" w:cs="仿宋"/>
                <w:bCs/>
                <w:sz w:val="24"/>
                <w:lang w:val="zh-CN" w:bidi="zh-CN"/>
              </w:rPr>
            </w:pPr>
            <w:r>
              <w:rPr>
                <w:rFonts w:hint="eastAsia" w:ascii="仿宋" w:hAnsi="仿宋" w:eastAsia="仿宋" w:cs="仿宋"/>
                <w:bCs/>
                <w:sz w:val="24"/>
              </w:rPr>
              <w:t>指定收款账户</w:t>
            </w:r>
          </w:p>
        </w:tc>
        <w:tc>
          <w:tcPr>
            <w:tcW w:w="6994" w:type="dxa"/>
            <w:gridSpan w:val="7"/>
            <w:noWrap/>
            <w:vAlign w:val="center"/>
          </w:tcPr>
          <w:p>
            <w:pPr>
              <w:spacing w:line="360" w:lineRule="exact"/>
              <w:ind w:right="80" w:rightChars="38"/>
              <w:rPr>
                <w:rFonts w:hint="eastAsia" w:ascii="仿宋" w:hAnsi="仿宋" w:eastAsia="仿宋" w:cs="仿宋"/>
                <w:sz w:val="24"/>
                <w:lang w:val="ru-RU"/>
              </w:rPr>
            </w:pPr>
            <w:r>
              <w:rPr>
                <w:rFonts w:hint="eastAsia" w:ascii="仿宋" w:hAnsi="仿宋" w:eastAsia="仿宋" w:cs="仿宋"/>
                <w:sz w:val="24"/>
                <w:lang w:val="ru-RU"/>
              </w:rPr>
              <w:t>户  名：北京建术信息科技研究院有限公司</w:t>
            </w:r>
          </w:p>
          <w:p>
            <w:pPr>
              <w:spacing w:line="360" w:lineRule="exact"/>
              <w:ind w:right="80" w:rightChars="38"/>
              <w:rPr>
                <w:rFonts w:hint="eastAsia" w:ascii="仿宋" w:hAnsi="仿宋" w:eastAsia="仿宋" w:cs="仿宋"/>
                <w:sz w:val="24"/>
                <w:lang w:val="ru-RU"/>
              </w:rPr>
            </w:pPr>
            <w:r>
              <w:rPr>
                <w:rFonts w:hint="eastAsia" w:ascii="仿宋" w:hAnsi="仿宋" w:eastAsia="仿宋" w:cs="仿宋"/>
                <w:sz w:val="24"/>
                <w:lang w:val="ru-RU"/>
              </w:rPr>
              <w:t>开户行：</w:t>
            </w:r>
            <w:r>
              <w:rPr>
                <w:rFonts w:hint="eastAsia" w:ascii="仿宋" w:hAnsi="仿宋" w:eastAsia="仿宋" w:cs="仿宋"/>
                <w:sz w:val="24"/>
              </w:rPr>
              <w:t>中国建设银行股份限公司北京昌平小汤山支行</w:t>
            </w:r>
          </w:p>
          <w:p>
            <w:pPr>
              <w:spacing w:line="360" w:lineRule="exact"/>
              <w:ind w:right="80" w:rightChars="38"/>
              <w:rPr>
                <w:rFonts w:hint="eastAsia" w:ascii="仿宋" w:hAnsi="仿宋" w:eastAsia="仿宋" w:cs="仿宋"/>
                <w:sz w:val="24"/>
              </w:rPr>
            </w:pPr>
            <w:r>
              <w:rPr>
                <w:rFonts w:hint="eastAsia" w:ascii="仿宋" w:hAnsi="仿宋" w:eastAsia="仿宋" w:cs="仿宋"/>
                <w:sz w:val="24"/>
                <w:lang w:val="ru-RU"/>
              </w:rPr>
              <w:t>账  号：</w:t>
            </w:r>
            <w:r>
              <w:rPr>
                <w:rFonts w:hint="eastAsia" w:ascii="仿宋" w:hAnsi="仿宋" w:eastAsia="仿宋" w:cs="仿宋"/>
                <w:sz w:val="24"/>
              </w:rPr>
              <w:t>1105 0110 2401 0900 0164</w:t>
            </w:r>
          </w:p>
          <w:p>
            <w:pPr>
              <w:spacing w:line="360" w:lineRule="exact"/>
              <w:ind w:right="80" w:rightChars="38"/>
              <w:rPr>
                <w:rFonts w:ascii="仿宋" w:hAnsi="仿宋" w:eastAsia="仿宋" w:cs="仿宋"/>
                <w:bCs/>
                <w:sz w:val="24"/>
                <w:lang w:bidi="zh-CN"/>
              </w:rPr>
            </w:pPr>
            <w:r>
              <w:rPr>
                <w:rFonts w:hint="eastAsia" w:ascii="仿宋" w:hAnsi="仿宋" w:eastAsia="仿宋" w:cs="仿宋"/>
                <w:sz w:val="24"/>
              </w:rPr>
              <w:t>汇款后，请将银行电汇凭证传真至：010-87205552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932" w:type="dxa"/>
            <w:noWrap/>
            <w:vAlign w:val="center"/>
          </w:tcPr>
          <w:p>
            <w:pPr>
              <w:spacing w:line="360" w:lineRule="exact"/>
              <w:ind w:right="80" w:rightChars="38"/>
              <w:rPr>
                <w:rFonts w:ascii="仿宋" w:hAnsi="仿宋" w:eastAsia="仿宋" w:cs="仿宋"/>
                <w:bCs/>
                <w:sz w:val="24"/>
              </w:rPr>
            </w:pPr>
            <w:r>
              <w:rPr>
                <w:rFonts w:hint="eastAsia" w:ascii="仿宋" w:hAnsi="仿宋" w:eastAsia="仿宋" w:cs="仿宋"/>
                <w:bCs/>
                <w:sz w:val="24"/>
              </w:rPr>
              <w:t>参会方式</w:t>
            </w:r>
          </w:p>
        </w:tc>
        <w:tc>
          <w:tcPr>
            <w:tcW w:w="6994" w:type="dxa"/>
            <w:gridSpan w:val="7"/>
            <w:noWrap/>
            <w:vAlign w:val="center"/>
          </w:tcPr>
          <w:p>
            <w:pPr>
              <w:spacing w:line="360" w:lineRule="exact"/>
              <w:ind w:right="80" w:rightChars="38"/>
              <w:rPr>
                <w:rFonts w:ascii="仿宋" w:hAnsi="仿宋" w:eastAsia="仿宋" w:cs="仿宋"/>
                <w:bCs/>
                <w:sz w:val="24"/>
              </w:rPr>
            </w:pPr>
            <w:r>
              <w:rPr>
                <w:rFonts w:hint="eastAsia" w:ascii="仿宋" w:hAnsi="仿宋" w:eastAsia="仿宋" w:cs="仿宋"/>
                <w:bCs/>
                <w:sz w:val="24"/>
              </w:rPr>
              <w:t>请参会单位把参会回执回传至会务组，会务组确认后将发送《报到通知》，告知报到时间、报到地点、培训日程、食宿等具体安排事项。</w:t>
            </w:r>
          </w:p>
        </w:tc>
      </w:tr>
    </w:tbl>
    <w:p>
      <w:pPr>
        <w:spacing w:line="480" w:lineRule="exact"/>
        <w:ind w:right="80" w:rightChars="38"/>
        <w:rPr>
          <w:rStyle w:val="7"/>
          <w:rFonts w:ascii="黑体" w:hAnsi="黑体" w:eastAsia="黑体" w:cs="宋体"/>
          <w:color w:val="000000"/>
          <w:lang w:val="zh-CN"/>
        </w:rPr>
      </w:pPr>
      <w:r>
        <w:rPr>
          <w:rStyle w:val="7"/>
          <w:rFonts w:hint="eastAsia" w:ascii="黑体" w:hAnsi="黑体" w:eastAsia="黑体" w:cs="宋体"/>
          <w:color w:val="000000"/>
          <w:lang w:val="zh-CN"/>
        </w:rPr>
        <w:t>注：为保证培训质量，培训班名额有限，额满为止，请确定人员后及早报名。</w:t>
      </w:r>
    </w:p>
    <w:p>
      <w:pPr>
        <w:pStyle w:val="2"/>
        <w:spacing w:line="400" w:lineRule="exact"/>
        <w:ind w:left="0" w:leftChars="0" w:firstLine="0" w:firstLineChars="0"/>
        <w:rPr>
          <w:rFonts w:hint="eastAsia" w:ascii="仿宋" w:hAnsi="仿宋" w:eastAsia="仿宋" w:cs="仿宋"/>
          <w:bCs/>
        </w:rPr>
      </w:pPr>
      <w:r>
        <w:rPr>
          <w:rFonts w:hint="eastAsia" w:ascii="仿宋" w:hAnsi="仿宋" w:eastAsia="仿宋" w:cs="仿宋"/>
          <w:bCs/>
        </w:rPr>
        <w:t xml:space="preserve">  报名负责人：聂红军 主任18211071700（微信）   </w:t>
      </w:r>
    </w:p>
    <w:p>
      <w:pPr>
        <w:pStyle w:val="2"/>
        <w:spacing w:line="400" w:lineRule="exact"/>
        <w:ind w:left="0" w:leftChars="0" w:firstLine="0" w:firstLineChars="0"/>
        <w:rPr>
          <w:rFonts w:hint="eastAsia" w:ascii="仿宋" w:hAnsi="仿宋" w:eastAsia="仿宋" w:cs="仿宋"/>
          <w:bCs/>
        </w:rPr>
      </w:pPr>
      <w:r>
        <w:rPr>
          <w:rFonts w:hint="eastAsia" w:ascii="仿宋" w:hAnsi="仿宋" w:eastAsia="仿宋" w:cs="仿宋"/>
          <w:bCs/>
        </w:rPr>
        <w:t xml:space="preserve">电    话：13141289128        邮    箱：zqgphwz@126.com  </w:t>
      </w:r>
    </w:p>
    <w:p>
      <w:pPr>
        <w:pStyle w:val="2"/>
        <w:spacing w:line="400" w:lineRule="exact"/>
        <w:ind w:left="0" w:leftChars="0" w:firstLine="0" w:firstLineChars="0"/>
        <w:rPr>
          <w:rFonts w:hint="eastAsia" w:ascii="仿宋" w:hAnsi="仿宋" w:eastAsia="仿宋" w:cs="仿宋"/>
          <w:bCs/>
          <w:lang w:val="en-US" w:eastAsia="zh-CN"/>
        </w:rPr>
      </w:pPr>
      <w:r>
        <w:rPr>
          <w:rFonts w:hint="eastAsia" w:ascii="仿宋" w:hAnsi="仿宋" w:eastAsia="仿宋" w:cs="仿宋"/>
          <w:bCs/>
        </w:rPr>
        <w:t>qq咨询：3177524020          网    址：http://www.zqgpchina.cn</w:t>
      </w:r>
      <w:bookmarkStart w:id="0" w:name="_GoBack"/>
      <w:bookmarkEnd w:id="0"/>
    </w:p>
    <w:sectPr>
      <w:headerReference r:id="rId3" w:type="default"/>
      <w:pgSz w:w="11906" w:h="16838"/>
      <w:pgMar w:top="1270" w:right="1349" w:bottom="1270" w:left="134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7F3BA1"/>
    <w:multiLevelType w:val="singleLevel"/>
    <w:tmpl w:val="B27F3BA1"/>
    <w:lvl w:ilvl="0" w:tentative="0">
      <w:start w:val="1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yMWM5NTU3NmQwMzYzZGY2NjUyMjZkNDUzMDVhNDkifQ=="/>
  </w:docVars>
  <w:rsids>
    <w:rsidRoot w:val="52BA4540"/>
    <w:rsid w:val="3F1D0EF3"/>
    <w:rsid w:val="4B82581C"/>
    <w:rsid w:val="52BA4540"/>
    <w:rsid w:val="723F0B4B"/>
    <w:rsid w:val="76F74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rPr>
      <w:sz w:val="24"/>
    </w:rPr>
  </w:style>
  <w:style w:type="paragraph" w:styleId="3">
    <w:name w:val="Body Text Indent"/>
    <w:basedOn w:val="1"/>
    <w:next w:val="1"/>
    <w:qFormat/>
    <w:uiPriority w:val="0"/>
    <w:pPr>
      <w:spacing w:after="120"/>
      <w:ind w:left="420" w:leftChars="200"/>
    </w:pPr>
    <w:rPr>
      <w:rFonts w:ascii="Times New Roman" w:hAnsi="Times New Roman" w:eastAsia="宋体" w:cs="Times New Roman"/>
    </w:rPr>
  </w:style>
  <w:style w:type="paragraph" w:styleId="4">
    <w:name w:val="Body Text"/>
    <w:basedOn w:val="1"/>
    <w:semiHidden/>
    <w:qFormat/>
    <w:uiPriority w:val="0"/>
    <w:rPr>
      <w:rFonts w:ascii="仿宋" w:hAnsi="仿宋" w:eastAsia="仿宋" w:cs="仿宋"/>
      <w:sz w:val="24"/>
      <w:szCs w:val="24"/>
      <w:lang w:val="en-US" w:eastAsia="en-US" w:bidi="ar-SA"/>
    </w:rPr>
  </w:style>
  <w:style w:type="character" w:styleId="7">
    <w:name w:val="Strong"/>
    <w:qFormat/>
    <w:uiPriority w:val="0"/>
    <w:rPr>
      <w:rFonts w:cs="Times New Roman"/>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3957</Words>
  <Characters>4144</Characters>
  <Lines>0</Lines>
  <Paragraphs>0</Paragraphs>
  <TotalTime>3</TotalTime>
  <ScaleCrop>false</ScaleCrop>
  <LinksUpToDate>false</LinksUpToDate>
  <CharactersWithSpaces>4415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2024-05-13T06:46:00Z</dcterms:created>
  <dc:creator>姣 儿</dc:creator>
  <cp:lastModifiedBy>聂红军</cp:lastModifiedBy>
  <dcterms:modified xsi:type="dcterms:W3CDTF">2024-06-03T00:13:02Z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A152AF92B8B145A3845DA2ECB9384537_13</vt:lpwstr>
  </property>
</Properties>
</file>