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spacing w:val="-57"/>
          <w:sz w:val="72"/>
          <w:szCs w:val="72"/>
        </w:rPr>
      </w:pPr>
      <w:r>
        <w:rPr>
          <w:b/>
          <w:bCs/>
          <w:color w:val="FF0000"/>
          <w:spacing w:val="-57"/>
          <w:sz w:val="72"/>
          <w:szCs w:val="72"/>
        </w:rPr>
        <w:t>北京建术信息科技研究院有限公司</w:t>
      </w:r>
    </w:p>
    <w:p>
      <w:pPr>
        <w:jc w:val="center"/>
        <w:rPr>
          <w:rFonts w:ascii="仿宋" w:hAnsi="仿宋" w:eastAsia="仿宋"/>
          <w:b/>
          <w:sz w:val="28"/>
          <w:szCs w:val="28"/>
        </w:rPr>
      </w:pPr>
      <w:r>
        <w:rPr>
          <w:rFonts w:ascii="仿宋" w:hAnsi="仿宋" w:eastAsia="仿宋" w:cs="仿宋"/>
          <w:sz w:val="28"/>
        </w:rPr>
        <mc:AlternateContent>
          <mc:Choice Requires="wps">
            <w:drawing>
              <wp:anchor distT="0" distB="0" distL="114300" distR="114300" simplePos="0" relativeHeight="251659264" behindDoc="0" locked="0" layoutInCell="1" allowOverlap="1">
                <wp:simplePos x="0" y="0"/>
                <wp:positionH relativeFrom="column">
                  <wp:posOffset>-175895</wp:posOffset>
                </wp:positionH>
                <wp:positionV relativeFrom="paragraph">
                  <wp:posOffset>377190</wp:posOffset>
                </wp:positionV>
                <wp:extent cx="6061710" cy="0"/>
                <wp:effectExtent l="0" t="9525" r="15240" b="9525"/>
                <wp:wrapNone/>
                <wp:docPr id="1" name="直接连接符 1"/>
                <wp:cNvGraphicFramePr/>
                <a:graphic xmlns:a="http://schemas.openxmlformats.org/drawingml/2006/main">
                  <a:graphicData uri="http://schemas.microsoft.com/office/word/2010/wordprocessingShape">
                    <wps:wsp>
                      <wps:cNvCnPr/>
                      <wps:spPr>
                        <a:xfrm>
                          <a:off x="1121410" y="1794510"/>
                          <a:ext cx="6061710"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3.85pt;margin-top:29.7pt;height:0pt;width:477.3pt;z-index:251659264;mso-width-relative:page;mso-height-relative:page;" filled="f" stroked="t" coordsize="21600,21600" o:gfxdata="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caUqZ1gAAAAkBAAAPAAAAAAAAAAEAIAAAACIAAABkcnMvZG93bnJldi54bWxQSwEC&#10;FAAUAAAACACHTuJABB6YkfYBAADMAwAADgAAAAAAAAABACAAAAAlAQAAZHJzL2Uyb0RvYy54bWxQ&#10;SwUGAAAAAAYABgBZAQAAjQUAAAAA&#10;">
                <v:fill on="f" focussize="0,0"/>
                <v:stroke weight="1.5pt" color="#FF0000" miterlimit="8" joinstyle="miter"/>
                <v:imagedata o:title=""/>
                <o:lock v:ext="edit" aspectratio="f"/>
              </v:line>
            </w:pict>
          </mc:Fallback>
        </mc:AlternateContent>
      </w:r>
      <w:r>
        <w:rPr>
          <w:rFonts w:hint="eastAsia" w:ascii="仿宋" w:hAnsi="仿宋" w:eastAsia="仿宋" w:cs="仿宋"/>
          <w:sz w:val="28"/>
          <w:szCs w:val="28"/>
        </w:rPr>
        <w:t>建术信息2024【28】号</w:t>
      </w:r>
    </w:p>
    <w:p/>
    <w:p>
      <w:pPr>
        <w:jc w:val="center"/>
        <w:rPr>
          <w:rFonts w:ascii="仿宋" w:hAnsi="仿宋" w:eastAsia="仿宋" w:cs="仿宋"/>
        </w:rPr>
      </w:pPr>
      <w:r>
        <w:rPr>
          <w:rFonts w:hint="eastAsia" w:ascii="仿宋" w:hAnsi="仿宋" w:eastAsia="仿宋" w:cs="仿宋"/>
          <w:b/>
          <w:bCs/>
          <w:sz w:val="36"/>
          <w:szCs w:val="36"/>
        </w:rPr>
        <w:t>关于举办《招投标法》大修改与建设工程全过程造价管控、结算审计实务操作培训班的通知</w:t>
      </w:r>
    </w:p>
    <w:p>
      <w:pPr>
        <w:pStyle w:val="5"/>
        <w:shd w:val="clear" w:color="FFFFFF" w:fill="FFFFFF"/>
        <w:spacing w:before="0" w:after="0"/>
        <w:rPr>
          <w:rFonts w:ascii="仿宋" w:hAnsi="仿宋" w:eastAsia="仿宋" w:cs="仿宋"/>
        </w:rPr>
      </w:pPr>
      <w:r>
        <w:rPr>
          <w:rStyle w:val="8"/>
          <w:rFonts w:hint="eastAsia" w:ascii="仿宋" w:hAnsi="仿宋" w:eastAsia="仿宋" w:cs="仿宋"/>
          <w:color w:val="3E3E3E"/>
        </w:rPr>
        <w:t>各有关单位：</w:t>
      </w:r>
    </w:p>
    <w:p>
      <w:pPr>
        <w:ind w:firstLine="480" w:firstLineChars="200"/>
        <w:rPr>
          <w:rFonts w:ascii="仿宋" w:hAnsi="仿宋" w:eastAsia="仿宋" w:cs="仿宋"/>
          <w:sz w:val="24"/>
        </w:rPr>
      </w:pPr>
      <w:r>
        <w:rPr>
          <w:rFonts w:hint="eastAsia" w:ascii="仿宋" w:hAnsi="仿宋" w:eastAsia="仿宋" w:cs="仿宋"/>
          <w:sz w:val="24"/>
        </w:rPr>
        <w:t>工程招标投标制度在维护国家利益和社会公共利益、规范建筑市场行为、提高投资效益、促进廉政建设等方面发挥了重要作用。但是工程招标投标活动中违规问题依然突出。为此，国家发展改革委牵头会同有关部门起草了《中华人民共和国招标投标法（修订草案公开征求意见稿）》，以促进深化招投标领域“放管服”改革、优化营商环境、解决招投标市场存在的突出问题、促进经济高质量发展。</w:t>
      </w:r>
    </w:p>
    <w:p>
      <w:pPr>
        <w:ind w:firstLine="480" w:firstLineChars="200"/>
        <w:rPr>
          <w:rFonts w:ascii="仿宋" w:hAnsi="仿宋" w:eastAsia="仿宋" w:cs="仿宋"/>
          <w:sz w:val="24"/>
        </w:rPr>
      </w:pPr>
      <w:r>
        <w:rPr>
          <w:rFonts w:hint="eastAsia" w:ascii="仿宋" w:hAnsi="仿宋" w:eastAsia="仿宋" w:cs="仿宋"/>
          <w:sz w:val="24"/>
        </w:rPr>
        <w:t>工程造价始终是建筑市场竞争的关键环节。随着建设项目复杂性的增加，与之相关的造价管理、计价分歧、合同执行争议以及工程款项的调整和结算审核问题，已经逐渐成为业界各方密切关注的重点。项目的预期回报目标要求所有涉及方加强对成本控制和过程管理的理解和操作能力。</w:t>
      </w:r>
    </w:p>
    <w:p>
      <w:pPr>
        <w:ind w:firstLine="480" w:firstLineChars="200"/>
        <w:rPr>
          <w:rFonts w:ascii="仿宋" w:hAnsi="仿宋" w:eastAsia="仿宋" w:cs="仿宋"/>
          <w:sz w:val="24"/>
        </w:rPr>
      </w:pPr>
      <w:r>
        <w:rPr>
          <w:rFonts w:hint="eastAsia" w:ascii="仿宋" w:hAnsi="仿宋" w:eastAsia="仿宋" w:cs="仿宋"/>
          <w:sz w:val="24"/>
        </w:rPr>
        <w:t>在当前快速变化的建设环境下，工程造价和结算审核的挑战日益显著。设计变更、劳动力和材料成本上涨、计价争议、结算纠纷以及工程款支付问题等，都是项目建设中经常遇到的难题，这些问题极大地影响了各参与方的工作进展和项目的投资回报。因此，为了防患未然，减少不必要的经济损失，并能够迅速有效地解决争端，各参与方需时刻更新对工程造价新趋势的认知，并掌握处理建设工程施工合同中计价与结算问题的关键点和难题。</w:t>
      </w:r>
    </w:p>
    <w:p>
      <w:pPr>
        <w:spacing w:line="400" w:lineRule="exact"/>
        <w:ind w:firstLine="480" w:firstLineChars="200"/>
        <w:rPr>
          <w:rFonts w:ascii="仿宋" w:hAnsi="仿宋" w:eastAsia="仿宋" w:cs="仿宋"/>
          <w:sz w:val="24"/>
        </w:rPr>
      </w:pPr>
      <w:r>
        <w:rPr>
          <w:rFonts w:hint="eastAsia" w:ascii="仿宋" w:hAnsi="仿宋" w:eastAsia="仿宋" w:cs="仿宋"/>
          <w:sz w:val="24"/>
        </w:rPr>
        <w:t>为了提高风险应对能力，确保项目顺利进行，最终实现成本效益最大化，我司决定举办“</w:t>
      </w:r>
      <w:r>
        <w:rPr>
          <w:rFonts w:hint="eastAsia" w:ascii="仿宋" w:hAnsi="仿宋" w:eastAsia="仿宋" w:cs="仿宋"/>
          <w:b/>
          <w:bCs/>
          <w:sz w:val="24"/>
        </w:rPr>
        <w:t>《招投标法》大修改与建设工程全过程造价管控、结算审计实务操作培训”。</w:t>
      </w:r>
      <w:r>
        <w:rPr>
          <w:rFonts w:hint="eastAsia" w:ascii="仿宋" w:hAnsi="仿宋" w:eastAsia="仿宋" w:cs="仿宋"/>
          <w:sz w:val="24"/>
        </w:rPr>
        <w:t>我们将建设工程全过程的造价疑难问题进行全面梳理，提出相应的控制措施和对策。现将有关事项通知如下：</w:t>
      </w:r>
    </w:p>
    <w:p>
      <w:pPr>
        <w:numPr>
          <w:ilvl w:val="0"/>
          <w:numId w:val="1"/>
        </w:numPr>
        <w:spacing w:line="400" w:lineRule="exact"/>
        <w:rPr>
          <w:rFonts w:ascii="仿宋" w:hAnsi="仿宋" w:eastAsia="仿宋" w:cs="仿宋"/>
          <w:b/>
          <w:bCs/>
          <w:sz w:val="24"/>
        </w:rPr>
      </w:pPr>
      <w:r>
        <w:rPr>
          <w:rFonts w:hint="eastAsia" w:ascii="仿宋" w:hAnsi="仿宋" w:eastAsia="仿宋" w:cs="仿宋"/>
          <w:b/>
          <w:bCs/>
          <w:sz w:val="24"/>
        </w:rPr>
        <w:t>培训内容</w:t>
      </w:r>
    </w:p>
    <w:p>
      <w:pPr>
        <w:spacing w:line="400" w:lineRule="exact"/>
        <w:rPr>
          <w:rFonts w:ascii="仿宋" w:hAnsi="仿宋" w:eastAsia="仿宋" w:cs="仿宋"/>
          <w:b/>
          <w:sz w:val="24"/>
        </w:rPr>
      </w:pPr>
      <w:r>
        <w:rPr>
          <w:rFonts w:hint="eastAsia" w:ascii="仿宋" w:hAnsi="仿宋" w:eastAsia="仿宋" w:cs="仿宋"/>
          <w:b/>
          <w:sz w:val="24"/>
        </w:rPr>
        <w:t>（一）《招投标法》大修改</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中标候选人不再排序，招标人自主确定中标人</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“最低价中标”退场，严格限定经评审的最低投标价法的适用范围</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在评标环节引入异常低价投标处理程序，有效管控合同履行风险</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明确两次招标失败、中标人不符合中标条件、中标人不履行合同等情形下的解决方式，避免反复重新招标</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禁止招标文件套用特定生产供应者的条件设定招标项目技术标准</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明确总承包招标、集中招标、两阶段招标等招标组织形式的法律地位</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扩大了允许自然人投标的项目范围</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强化标后合同履行情况监管</w:t>
      </w:r>
    </w:p>
    <w:p>
      <w:pPr>
        <w:pStyle w:val="9"/>
        <w:numPr>
          <w:ilvl w:val="0"/>
          <w:numId w:val="2"/>
        </w:numPr>
        <w:spacing w:line="400" w:lineRule="exact"/>
        <w:ind w:firstLineChars="0"/>
        <w:rPr>
          <w:rFonts w:ascii="仿宋" w:hAnsi="仿宋" w:eastAsia="仿宋" w:cs="仿宋"/>
        </w:rPr>
      </w:pPr>
      <w:r>
        <w:rPr>
          <w:rFonts w:hint="eastAsia" w:ascii="仿宋" w:hAnsi="仿宋" w:eastAsia="仿宋" w:cs="仿宋"/>
        </w:rPr>
        <w:t>加强对招标代理行为和评标专家行为的监管</w:t>
      </w:r>
    </w:p>
    <w:p>
      <w:pPr>
        <w:spacing w:line="400" w:lineRule="exact"/>
        <w:rPr>
          <w:rFonts w:ascii="仿宋" w:hAnsi="仿宋" w:eastAsia="仿宋" w:cs="仿宋"/>
          <w:b/>
          <w:bCs/>
          <w:sz w:val="24"/>
        </w:rPr>
      </w:pPr>
      <w:r>
        <w:rPr>
          <w:rFonts w:hint="eastAsia" w:ascii="仿宋" w:hAnsi="仿宋" w:eastAsia="仿宋" w:cs="仿宋"/>
          <w:b/>
          <w:bCs/>
          <w:sz w:val="24"/>
        </w:rPr>
        <w:t>（二）招标阶段造价问题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处理招标人关于限额清单准确性的责任与风险承担问题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应对甲方指定品牌后投标价格的调整策略</w:t>
      </w:r>
    </w:p>
    <w:p>
      <w:pPr>
        <w:numPr>
          <w:ilvl w:val="0"/>
          <w:numId w:val="3"/>
        </w:numPr>
        <w:spacing w:line="400" w:lineRule="exact"/>
        <w:rPr>
          <w:rFonts w:ascii="仿宋" w:hAnsi="仿宋" w:eastAsia="仿宋" w:cs="仿宋"/>
          <w:sz w:val="24"/>
        </w:rPr>
      </w:pPr>
      <w:r>
        <w:rPr>
          <w:rFonts w:hint="eastAsia" w:ascii="仿宋" w:hAnsi="仿宋" w:eastAsia="仿宋" w:cs="仿宋"/>
          <w:sz w:val="24"/>
        </w:rPr>
        <w:t>解决招标清单漏项专业工程费用的承担问题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应对招标范围超出施工图预算的结算方式处理</w:t>
      </w:r>
    </w:p>
    <w:p>
      <w:pPr>
        <w:numPr>
          <w:ilvl w:val="0"/>
          <w:numId w:val="3"/>
        </w:numPr>
        <w:spacing w:line="400" w:lineRule="exact"/>
        <w:rPr>
          <w:rFonts w:ascii="仿宋" w:hAnsi="仿宋" w:eastAsia="仿宋" w:cs="仿宋"/>
          <w:sz w:val="24"/>
        </w:rPr>
      </w:pPr>
      <w:r>
        <w:rPr>
          <w:rFonts w:hint="eastAsia" w:ascii="仿宋" w:hAnsi="仿宋" w:eastAsia="仿宋" w:cs="仿宋"/>
          <w:sz w:val="24"/>
        </w:rPr>
        <w:t>处理多次招标中材料暂估价差异的问题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图纸量与招标量不一致的结算方法选择</w:t>
      </w:r>
    </w:p>
    <w:p>
      <w:pPr>
        <w:numPr>
          <w:ilvl w:val="0"/>
          <w:numId w:val="3"/>
        </w:numPr>
        <w:spacing w:line="400" w:lineRule="exact"/>
        <w:rPr>
          <w:rFonts w:ascii="仿宋" w:hAnsi="仿宋" w:eastAsia="仿宋" w:cs="仿宋"/>
          <w:sz w:val="24"/>
        </w:rPr>
      </w:pPr>
      <w:r>
        <w:rPr>
          <w:rFonts w:hint="eastAsia" w:ascii="仿宋" w:hAnsi="仿宋" w:eastAsia="仿宋" w:cs="仿宋"/>
          <w:sz w:val="24"/>
        </w:rPr>
        <w:t>解决招标文件条款不一致的问题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分析单独工程变更是否构成肢解分包的问题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探讨无招投标手续时施工单位的费用主张问题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按项包干无项目特征的结算方法</w:t>
      </w:r>
    </w:p>
    <w:p>
      <w:pPr>
        <w:numPr>
          <w:ilvl w:val="0"/>
          <w:numId w:val="3"/>
        </w:numPr>
        <w:spacing w:line="400" w:lineRule="exact"/>
        <w:rPr>
          <w:rFonts w:ascii="仿宋" w:hAnsi="仿宋" w:eastAsia="仿宋" w:cs="仿宋"/>
          <w:sz w:val="24"/>
        </w:rPr>
      </w:pPr>
      <w:r>
        <w:rPr>
          <w:rFonts w:hint="eastAsia" w:ascii="仿宋" w:hAnsi="仿宋" w:eastAsia="仿宋" w:cs="仿宋"/>
          <w:sz w:val="24"/>
        </w:rPr>
        <w:t>基础单价、费率及组价模式的取费基数确定</w:t>
      </w:r>
    </w:p>
    <w:p>
      <w:pPr>
        <w:numPr>
          <w:ilvl w:val="0"/>
          <w:numId w:val="3"/>
        </w:numPr>
        <w:spacing w:line="400" w:lineRule="exact"/>
        <w:rPr>
          <w:rFonts w:ascii="仿宋" w:hAnsi="仿宋" w:eastAsia="仿宋" w:cs="仿宋"/>
          <w:sz w:val="24"/>
        </w:rPr>
      </w:pPr>
      <w:r>
        <w:rPr>
          <w:rFonts w:hint="eastAsia" w:ascii="仿宋" w:hAnsi="仿宋" w:eastAsia="仿宋" w:cs="仿宋"/>
          <w:sz w:val="24"/>
        </w:rPr>
        <w:t>分析工程变更独立拆分是否适用招采程序</w:t>
      </w:r>
    </w:p>
    <w:p>
      <w:pPr>
        <w:numPr>
          <w:ilvl w:val="0"/>
          <w:numId w:val="3"/>
        </w:numPr>
        <w:spacing w:line="400" w:lineRule="exact"/>
        <w:rPr>
          <w:rFonts w:ascii="仿宋" w:hAnsi="仿宋" w:eastAsia="仿宋" w:cs="仿宋"/>
          <w:sz w:val="24"/>
        </w:rPr>
      </w:pPr>
      <w:r>
        <w:rPr>
          <w:rFonts w:hint="eastAsia" w:ascii="仿宋" w:hAnsi="仿宋" w:eastAsia="仿宋" w:cs="仿宋"/>
          <w:sz w:val="24"/>
        </w:rPr>
        <w:t>探讨超概算后单独招标的合法性问题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不重新招标时对分包单位材料价差的调整方法</w:t>
      </w:r>
    </w:p>
    <w:p>
      <w:pPr>
        <w:numPr>
          <w:ilvl w:val="0"/>
          <w:numId w:val="3"/>
        </w:numPr>
        <w:spacing w:line="400" w:lineRule="exact"/>
        <w:rPr>
          <w:rFonts w:ascii="仿宋" w:hAnsi="仿宋" w:eastAsia="仿宋" w:cs="仿宋"/>
          <w:sz w:val="24"/>
        </w:rPr>
      </w:pPr>
      <w:r>
        <w:rPr>
          <w:rFonts w:hint="eastAsia" w:ascii="仿宋" w:hAnsi="仿宋" w:eastAsia="仿宋" w:cs="仿宋"/>
          <w:sz w:val="24"/>
        </w:rPr>
        <w:t>按旧定额签约与新定额结算的法律合规性分析</w:t>
      </w:r>
    </w:p>
    <w:p>
      <w:pPr>
        <w:numPr>
          <w:ilvl w:val="0"/>
          <w:numId w:val="3"/>
        </w:numPr>
        <w:spacing w:line="400" w:lineRule="exact"/>
        <w:rPr>
          <w:rFonts w:ascii="仿宋" w:hAnsi="仿宋" w:eastAsia="仿宋" w:cs="仿宋"/>
          <w:sz w:val="24"/>
        </w:rPr>
      </w:pPr>
      <w:r>
        <w:rPr>
          <w:rFonts w:hint="eastAsia" w:ascii="仿宋" w:hAnsi="仿宋" w:eastAsia="仿宋" w:cs="仿宋"/>
          <w:sz w:val="24"/>
        </w:rPr>
        <w:t>甲方对未列入暂估价的专业工程报价的干涉权</w:t>
      </w:r>
    </w:p>
    <w:p>
      <w:pPr>
        <w:numPr>
          <w:ilvl w:val="0"/>
          <w:numId w:val="3"/>
        </w:numPr>
        <w:spacing w:line="400" w:lineRule="exact"/>
        <w:rPr>
          <w:rFonts w:ascii="仿宋" w:hAnsi="仿宋" w:eastAsia="仿宋" w:cs="仿宋"/>
          <w:sz w:val="24"/>
        </w:rPr>
      </w:pPr>
      <w:r>
        <w:rPr>
          <w:rFonts w:hint="eastAsia" w:ascii="仿宋" w:hAnsi="仿宋" w:eastAsia="仿宋" w:cs="仿宋"/>
          <w:sz w:val="24"/>
        </w:rPr>
        <w:t>处理招标限价与发包人要求不匹配的问题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工程总承包与分别签署施工和设计合同的处理</w:t>
      </w:r>
    </w:p>
    <w:p>
      <w:pPr>
        <w:numPr>
          <w:ilvl w:val="0"/>
          <w:numId w:val="3"/>
        </w:numPr>
        <w:spacing w:line="400" w:lineRule="exact"/>
        <w:rPr>
          <w:rFonts w:ascii="仿宋" w:hAnsi="仿宋" w:eastAsia="仿宋" w:cs="仿宋"/>
          <w:sz w:val="24"/>
        </w:rPr>
      </w:pPr>
      <w:r>
        <w:rPr>
          <w:rFonts w:hint="eastAsia" w:ascii="仿宋" w:hAnsi="仿宋" w:eastAsia="仿宋" w:cs="仿宋"/>
          <w:sz w:val="24"/>
        </w:rPr>
        <w:t>按定额编制结算价高于投标报价的费用处理</w:t>
      </w:r>
    </w:p>
    <w:p>
      <w:pPr>
        <w:numPr>
          <w:ilvl w:val="0"/>
          <w:numId w:val="3"/>
        </w:numPr>
        <w:spacing w:line="400" w:lineRule="exact"/>
        <w:rPr>
          <w:rFonts w:ascii="仿宋" w:hAnsi="仿宋" w:eastAsia="仿宋" w:cs="仿宋"/>
          <w:sz w:val="24"/>
        </w:rPr>
      </w:pPr>
      <w:r>
        <w:rPr>
          <w:rFonts w:hint="eastAsia" w:ascii="仿宋" w:hAnsi="仿宋" w:eastAsia="仿宋" w:cs="仿宋"/>
          <w:sz w:val="24"/>
        </w:rPr>
        <w:t>考虑总价合同对应范围的费用处理</w:t>
      </w:r>
    </w:p>
    <w:p>
      <w:pPr>
        <w:numPr>
          <w:ilvl w:val="0"/>
          <w:numId w:val="3"/>
        </w:numPr>
        <w:spacing w:line="400" w:lineRule="exact"/>
        <w:rPr>
          <w:rFonts w:ascii="仿宋" w:hAnsi="仿宋" w:eastAsia="仿宋" w:cs="仿宋"/>
          <w:sz w:val="24"/>
        </w:rPr>
      </w:pPr>
      <w:r>
        <w:rPr>
          <w:rFonts w:hint="eastAsia" w:ascii="仿宋" w:hAnsi="仿宋" w:eastAsia="仿宋" w:cs="仿宋"/>
          <w:sz w:val="24"/>
        </w:rPr>
        <w:t>总承包服务费未发生时的预算包干费计取问题</w:t>
      </w:r>
    </w:p>
    <w:p>
      <w:pPr>
        <w:numPr>
          <w:ilvl w:val="0"/>
          <w:numId w:val="3"/>
        </w:numPr>
        <w:spacing w:line="400" w:lineRule="exact"/>
        <w:rPr>
          <w:rFonts w:ascii="仿宋" w:hAnsi="仿宋" w:eastAsia="仿宋" w:cs="仿宋"/>
          <w:sz w:val="24"/>
        </w:rPr>
      </w:pPr>
      <w:r>
        <w:rPr>
          <w:rFonts w:hint="eastAsia" w:ascii="仿宋" w:hAnsi="仿宋" w:eastAsia="仿宋" w:cs="仿宋"/>
          <w:sz w:val="24"/>
        </w:rPr>
        <w:t>承包人自行复核勘察资料准确性的风险应对</w:t>
      </w:r>
    </w:p>
    <w:p>
      <w:pPr>
        <w:numPr>
          <w:ilvl w:val="0"/>
          <w:numId w:val="3"/>
        </w:numPr>
        <w:spacing w:line="400" w:lineRule="exact"/>
        <w:rPr>
          <w:rFonts w:ascii="仿宋" w:hAnsi="仿宋" w:eastAsia="仿宋" w:cs="仿宋"/>
          <w:sz w:val="24"/>
        </w:rPr>
      </w:pPr>
      <w:r>
        <w:rPr>
          <w:rFonts w:hint="eastAsia" w:ascii="仿宋" w:hAnsi="仿宋" w:eastAsia="仿宋" w:cs="仿宋"/>
          <w:sz w:val="24"/>
        </w:rPr>
        <w:t>招标方调减项目实施内容的处理策略</w:t>
      </w:r>
    </w:p>
    <w:p>
      <w:pPr>
        <w:numPr>
          <w:ilvl w:val="0"/>
          <w:numId w:val="3"/>
        </w:numPr>
        <w:spacing w:line="400" w:lineRule="exact"/>
        <w:rPr>
          <w:rFonts w:ascii="仿宋" w:hAnsi="仿宋" w:eastAsia="仿宋" w:cs="仿宋"/>
          <w:sz w:val="24"/>
        </w:rPr>
      </w:pPr>
      <w:r>
        <w:rPr>
          <w:rFonts w:hint="eastAsia" w:ascii="仿宋" w:hAnsi="仿宋" w:eastAsia="仿宋" w:cs="仿宋"/>
          <w:sz w:val="24"/>
        </w:rPr>
        <w:t>投标人经现场踏勘后自行考虑费用的处理</w:t>
      </w:r>
    </w:p>
    <w:p>
      <w:pPr>
        <w:numPr>
          <w:ilvl w:val="0"/>
          <w:numId w:val="3"/>
        </w:numPr>
        <w:spacing w:line="400" w:lineRule="exact"/>
        <w:rPr>
          <w:rFonts w:ascii="仿宋" w:hAnsi="仿宋" w:eastAsia="仿宋" w:cs="仿宋"/>
          <w:sz w:val="24"/>
        </w:rPr>
      </w:pPr>
      <w:r>
        <w:rPr>
          <w:rFonts w:hint="eastAsia" w:ascii="仿宋" w:hAnsi="仿宋" w:eastAsia="仿宋" w:cs="仿宋"/>
          <w:sz w:val="24"/>
        </w:rPr>
        <w:t>技术参数要求有误与现场实际情况不符的处理</w:t>
      </w:r>
    </w:p>
    <w:p>
      <w:pPr>
        <w:spacing w:line="400" w:lineRule="exact"/>
        <w:rPr>
          <w:rFonts w:ascii="仿宋" w:hAnsi="仿宋" w:eastAsia="仿宋" w:cs="仿宋"/>
          <w:b/>
          <w:bCs/>
          <w:sz w:val="24"/>
        </w:rPr>
      </w:pPr>
      <w:r>
        <w:rPr>
          <w:rFonts w:hint="eastAsia" w:ascii="仿宋" w:hAnsi="仿宋" w:eastAsia="仿宋" w:cs="仿宋"/>
          <w:b/>
          <w:bCs/>
          <w:sz w:val="24"/>
        </w:rPr>
        <w:t>（三）订约阶段造价问题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签订合同前清标注意事项</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空白施工合同争议处理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专业工程招标未签合同时材料涨价处理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合同约定不调整工程变更价款和工期的处理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固定总价合同转为暂定价的结算审核问题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措施费包干条款在合同中缺失对总包单位的约束力</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主材甲供对甲方有利扣除方法</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信息价与市场价格差异处理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按竣工图结算的可行性</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施工许可证未办理下的降效费问题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施工图审查期间材料价格上涨处理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总包单位未及时提出疑问的费用处理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设计错误导致不满足发包人要求的处理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勘测设计图纸不准确土方量偏差处理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进度款约定在结算中的适用性</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甲方解除合同后的款项及损失处理</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二次搬运和临时设施费用分摊问题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第三方清标价格作为结算依据</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不可预见费用与风险的包干问题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补充协议与EPC合同不一致的结算问题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签证资料不符的结算审计考虑</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解除协议后不停报送费用的合理性</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结算审计中乙方发票的审减依据</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结算审核时需重新计算工程量的问题</w:t>
      </w:r>
    </w:p>
    <w:p>
      <w:pPr>
        <w:numPr>
          <w:ilvl w:val="0"/>
          <w:numId w:val="4"/>
        </w:numPr>
        <w:spacing w:line="400" w:lineRule="exact"/>
        <w:ind w:firstLine="0"/>
        <w:rPr>
          <w:rFonts w:ascii="仿宋" w:hAnsi="仿宋" w:eastAsia="仿宋" w:cs="仿宋"/>
          <w:sz w:val="24"/>
        </w:rPr>
      </w:pPr>
      <w:r>
        <w:rPr>
          <w:rFonts w:hint="eastAsia" w:ascii="仿宋" w:hAnsi="仿宋" w:eastAsia="仿宋" w:cs="仿宋"/>
          <w:sz w:val="24"/>
        </w:rPr>
        <w:t>红线外内容结算处理</w:t>
      </w:r>
    </w:p>
    <w:p>
      <w:pPr>
        <w:spacing w:line="400" w:lineRule="exact"/>
        <w:rPr>
          <w:rFonts w:ascii="仿宋" w:hAnsi="仿宋" w:eastAsia="仿宋" w:cs="仿宋"/>
          <w:b/>
          <w:bCs/>
          <w:sz w:val="24"/>
        </w:rPr>
      </w:pPr>
      <w:r>
        <w:rPr>
          <w:rFonts w:hint="eastAsia" w:ascii="仿宋" w:hAnsi="仿宋" w:eastAsia="仿宋" w:cs="仿宋"/>
          <w:b/>
          <w:bCs/>
          <w:sz w:val="24"/>
        </w:rPr>
        <w:t>（四）履约阶段造价问题</w:t>
      </w:r>
    </w:p>
    <w:p>
      <w:pPr>
        <w:numPr>
          <w:ilvl w:val="0"/>
          <w:numId w:val="5"/>
        </w:numPr>
        <w:spacing w:line="400" w:lineRule="exact"/>
        <w:rPr>
          <w:rFonts w:ascii="仿宋" w:hAnsi="仿宋" w:eastAsia="仿宋" w:cs="仿宋"/>
          <w:sz w:val="24"/>
        </w:rPr>
      </w:pPr>
      <w:r>
        <w:rPr>
          <w:rFonts w:hint="eastAsia" w:ascii="仿宋" w:hAnsi="仿宋" w:eastAsia="仿宋" w:cs="仿宋"/>
          <w:sz w:val="24"/>
        </w:rPr>
        <w:t>政策性人工费用调整处理策略</w:t>
      </w:r>
    </w:p>
    <w:p>
      <w:pPr>
        <w:numPr>
          <w:ilvl w:val="0"/>
          <w:numId w:val="5"/>
        </w:numPr>
        <w:spacing w:line="400" w:lineRule="exact"/>
        <w:rPr>
          <w:rFonts w:ascii="仿宋" w:hAnsi="仿宋" w:eastAsia="仿宋" w:cs="仿宋"/>
          <w:sz w:val="24"/>
        </w:rPr>
      </w:pPr>
      <w:r>
        <w:rPr>
          <w:rFonts w:hint="eastAsia" w:ascii="仿宋" w:hAnsi="仿宋" w:eastAsia="仿宋" w:cs="仿宋"/>
          <w:sz w:val="24"/>
        </w:rPr>
        <w:t>预算清单错误和遗漏处理方法</w:t>
      </w:r>
    </w:p>
    <w:p>
      <w:pPr>
        <w:numPr>
          <w:ilvl w:val="0"/>
          <w:numId w:val="5"/>
        </w:numPr>
        <w:spacing w:line="400" w:lineRule="exact"/>
        <w:rPr>
          <w:rFonts w:ascii="仿宋" w:hAnsi="仿宋" w:eastAsia="仿宋" w:cs="仿宋"/>
          <w:sz w:val="24"/>
        </w:rPr>
      </w:pPr>
      <w:r>
        <w:rPr>
          <w:rFonts w:hint="eastAsia" w:ascii="仿宋" w:hAnsi="仿宋" w:eastAsia="仿宋" w:cs="仿宋"/>
          <w:sz w:val="24"/>
        </w:rPr>
        <w:t>临建措施费一次性投入结算方式</w:t>
      </w:r>
    </w:p>
    <w:p>
      <w:pPr>
        <w:numPr>
          <w:ilvl w:val="0"/>
          <w:numId w:val="5"/>
        </w:numPr>
        <w:spacing w:line="400" w:lineRule="exact"/>
        <w:rPr>
          <w:rFonts w:ascii="仿宋" w:hAnsi="仿宋" w:eastAsia="仿宋" w:cs="仿宋"/>
          <w:sz w:val="24"/>
        </w:rPr>
      </w:pPr>
      <w:r>
        <w:rPr>
          <w:rFonts w:hint="eastAsia" w:ascii="仿宋" w:hAnsi="仿宋" w:eastAsia="仿宋" w:cs="仿宋"/>
          <w:sz w:val="24"/>
        </w:rPr>
        <w:t>项目实际施工超出概算应对措施</w:t>
      </w:r>
    </w:p>
    <w:p>
      <w:pPr>
        <w:numPr>
          <w:ilvl w:val="0"/>
          <w:numId w:val="5"/>
        </w:numPr>
        <w:spacing w:line="400" w:lineRule="exact"/>
        <w:rPr>
          <w:rFonts w:ascii="仿宋" w:hAnsi="仿宋" w:eastAsia="仿宋" w:cs="仿宋"/>
          <w:sz w:val="24"/>
        </w:rPr>
      </w:pPr>
      <w:r>
        <w:rPr>
          <w:rFonts w:hint="eastAsia" w:ascii="仿宋" w:hAnsi="仿宋" w:eastAsia="仿宋" w:cs="仿宋"/>
          <w:sz w:val="24"/>
        </w:rPr>
        <w:t>无定额子目新型材料结算方法</w:t>
      </w:r>
    </w:p>
    <w:p>
      <w:pPr>
        <w:numPr>
          <w:ilvl w:val="0"/>
          <w:numId w:val="5"/>
        </w:numPr>
        <w:spacing w:line="400" w:lineRule="exact"/>
        <w:rPr>
          <w:rFonts w:ascii="仿宋" w:hAnsi="仿宋" w:eastAsia="仿宋" w:cs="仿宋"/>
          <w:sz w:val="24"/>
        </w:rPr>
      </w:pPr>
      <w:r>
        <w:rPr>
          <w:rFonts w:hint="eastAsia" w:ascii="仿宋" w:hAnsi="仿宋" w:eastAsia="仿宋" w:cs="仿宋"/>
          <w:sz w:val="24"/>
        </w:rPr>
        <w:t>脚手架用量增加的施工方案调整</w:t>
      </w:r>
    </w:p>
    <w:p>
      <w:pPr>
        <w:numPr>
          <w:ilvl w:val="0"/>
          <w:numId w:val="5"/>
        </w:numPr>
        <w:spacing w:line="400" w:lineRule="exact"/>
        <w:rPr>
          <w:rFonts w:ascii="仿宋" w:hAnsi="仿宋" w:eastAsia="仿宋" w:cs="仿宋"/>
          <w:sz w:val="24"/>
        </w:rPr>
      </w:pPr>
      <w:r>
        <w:rPr>
          <w:rFonts w:hint="eastAsia" w:ascii="仿宋" w:hAnsi="仿宋" w:eastAsia="仿宋" w:cs="仿宋"/>
          <w:sz w:val="24"/>
        </w:rPr>
        <w:t>材料数量计算标准误解处理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施工受征地影响降效费用处理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审计方修改预算和合同价合适性</w:t>
      </w:r>
    </w:p>
    <w:p>
      <w:pPr>
        <w:numPr>
          <w:ilvl w:val="0"/>
          <w:numId w:val="5"/>
        </w:numPr>
        <w:spacing w:line="400" w:lineRule="exact"/>
        <w:rPr>
          <w:rFonts w:ascii="仿宋" w:hAnsi="仿宋" w:eastAsia="仿宋" w:cs="仿宋"/>
          <w:sz w:val="24"/>
        </w:rPr>
      </w:pPr>
      <w:r>
        <w:rPr>
          <w:rFonts w:hint="eastAsia" w:ascii="仿宋" w:hAnsi="仿宋" w:eastAsia="仿宋" w:cs="仿宋"/>
          <w:sz w:val="24"/>
        </w:rPr>
        <w:t>人工费市场与定额价差额处理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招标清单计量单位为项的结算法</w:t>
      </w:r>
    </w:p>
    <w:p>
      <w:pPr>
        <w:numPr>
          <w:ilvl w:val="0"/>
          <w:numId w:val="5"/>
        </w:numPr>
        <w:spacing w:line="400" w:lineRule="exact"/>
        <w:rPr>
          <w:rFonts w:ascii="仿宋" w:hAnsi="仿宋" w:eastAsia="仿宋" w:cs="仿宋"/>
          <w:sz w:val="24"/>
        </w:rPr>
      </w:pPr>
      <w:r>
        <w:rPr>
          <w:rFonts w:hint="eastAsia" w:ascii="仿宋" w:hAnsi="仿宋" w:eastAsia="仿宋" w:cs="仿宋"/>
          <w:sz w:val="24"/>
        </w:rPr>
        <w:t>预算报价高于定额的费用处理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实际人工费和机械费结算方法</w:t>
      </w:r>
    </w:p>
    <w:p>
      <w:pPr>
        <w:numPr>
          <w:ilvl w:val="0"/>
          <w:numId w:val="5"/>
        </w:numPr>
        <w:spacing w:line="400" w:lineRule="exact"/>
        <w:rPr>
          <w:rFonts w:ascii="仿宋" w:hAnsi="仿宋" w:eastAsia="仿宋" w:cs="仿宋"/>
          <w:sz w:val="24"/>
        </w:rPr>
      </w:pPr>
      <w:r>
        <w:rPr>
          <w:rFonts w:hint="eastAsia" w:ascii="仿宋" w:hAnsi="仿宋" w:eastAsia="仿宋" w:cs="仿宋"/>
          <w:sz w:val="24"/>
        </w:rPr>
        <w:t>高支模方案增加费用的实计取</w:t>
      </w:r>
    </w:p>
    <w:p>
      <w:pPr>
        <w:numPr>
          <w:ilvl w:val="0"/>
          <w:numId w:val="5"/>
        </w:numPr>
        <w:spacing w:line="400" w:lineRule="exact"/>
        <w:rPr>
          <w:rFonts w:ascii="仿宋" w:hAnsi="仿宋" w:eastAsia="仿宋" w:cs="仿宋"/>
          <w:sz w:val="24"/>
        </w:rPr>
      </w:pPr>
      <w:r>
        <w:rPr>
          <w:rFonts w:hint="eastAsia" w:ascii="仿宋" w:hAnsi="仿宋" w:eastAsia="仿宋" w:cs="仿宋"/>
          <w:sz w:val="24"/>
        </w:rPr>
        <w:t>结算书缺乏造价人员认证有效性</w:t>
      </w:r>
    </w:p>
    <w:p>
      <w:pPr>
        <w:numPr>
          <w:ilvl w:val="0"/>
          <w:numId w:val="5"/>
        </w:numPr>
        <w:spacing w:line="400" w:lineRule="exact"/>
        <w:rPr>
          <w:rFonts w:ascii="仿宋" w:hAnsi="仿宋" w:eastAsia="仿宋" w:cs="仿宋"/>
          <w:sz w:val="24"/>
        </w:rPr>
      </w:pPr>
      <w:r>
        <w:rPr>
          <w:rFonts w:hint="eastAsia" w:ascii="仿宋" w:hAnsi="仿宋" w:eastAsia="仿宋" w:cs="仿宋"/>
          <w:sz w:val="24"/>
        </w:rPr>
        <w:t>甲供材辅助材料费扣减问题</w:t>
      </w:r>
    </w:p>
    <w:p>
      <w:pPr>
        <w:numPr>
          <w:ilvl w:val="0"/>
          <w:numId w:val="5"/>
        </w:numPr>
        <w:spacing w:line="400" w:lineRule="exact"/>
        <w:rPr>
          <w:rFonts w:ascii="仿宋" w:hAnsi="仿宋" w:eastAsia="仿宋" w:cs="仿宋"/>
          <w:sz w:val="24"/>
        </w:rPr>
      </w:pPr>
      <w:r>
        <w:rPr>
          <w:rFonts w:hint="eastAsia" w:ascii="仿宋" w:hAnsi="仿宋" w:eastAsia="仿宋" w:cs="仿宋"/>
          <w:sz w:val="24"/>
        </w:rPr>
        <w:t>超期未开工甲方原因处理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更换材料品牌对结算价调整</w:t>
      </w:r>
    </w:p>
    <w:p>
      <w:pPr>
        <w:numPr>
          <w:ilvl w:val="0"/>
          <w:numId w:val="5"/>
        </w:numPr>
        <w:spacing w:line="400" w:lineRule="exact"/>
        <w:rPr>
          <w:rFonts w:ascii="仿宋" w:hAnsi="仿宋" w:eastAsia="仿宋" w:cs="仿宋"/>
          <w:sz w:val="24"/>
        </w:rPr>
      </w:pPr>
      <w:r>
        <w:rPr>
          <w:rFonts w:hint="eastAsia" w:ascii="仿宋" w:hAnsi="仿宋" w:eastAsia="仿宋" w:cs="仿宋"/>
          <w:sz w:val="24"/>
        </w:rPr>
        <w:t>工程量差异致超支费用处理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按项计费与定额计价超支处理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概算定额与施工图差异费用处理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价款增加部分合规处理方式</w:t>
      </w:r>
    </w:p>
    <w:p>
      <w:pPr>
        <w:numPr>
          <w:ilvl w:val="0"/>
          <w:numId w:val="5"/>
        </w:numPr>
        <w:spacing w:line="400" w:lineRule="exact"/>
        <w:rPr>
          <w:rFonts w:ascii="仿宋" w:hAnsi="仿宋" w:eastAsia="仿宋" w:cs="仿宋"/>
          <w:sz w:val="24"/>
        </w:rPr>
      </w:pPr>
      <w:r>
        <w:rPr>
          <w:rFonts w:hint="eastAsia" w:ascii="仿宋" w:hAnsi="仿宋" w:eastAsia="仿宋" w:cs="仿宋"/>
          <w:sz w:val="24"/>
        </w:rPr>
        <w:t>施工量无法计量价款认定问题</w:t>
      </w:r>
    </w:p>
    <w:p>
      <w:pPr>
        <w:numPr>
          <w:ilvl w:val="0"/>
          <w:numId w:val="5"/>
        </w:numPr>
        <w:spacing w:line="400" w:lineRule="exact"/>
        <w:rPr>
          <w:rFonts w:ascii="仿宋" w:hAnsi="仿宋" w:eastAsia="仿宋" w:cs="仿宋"/>
          <w:sz w:val="24"/>
        </w:rPr>
      </w:pPr>
      <w:r>
        <w:rPr>
          <w:rFonts w:hint="eastAsia" w:ascii="仿宋" w:hAnsi="仿宋" w:eastAsia="仿宋" w:cs="仿宋"/>
          <w:sz w:val="24"/>
        </w:rPr>
        <w:t>地勘变化引致总投资增加处理</w:t>
      </w:r>
    </w:p>
    <w:p>
      <w:pPr>
        <w:numPr>
          <w:ilvl w:val="0"/>
          <w:numId w:val="5"/>
        </w:numPr>
        <w:spacing w:line="400" w:lineRule="exact"/>
        <w:rPr>
          <w:rFonts w:ascii="仿宋" w:hAnsi="仿宋" w:eastAsia="仿宋" w:cs="仿宋"/>
          <w:sz w:val="24"/>
        </w:rPr>
      </w:pPr>
      <w:r>
        <w:rPr>
          <w:rFonts w:hint="eastAsia" w:ascii="仿宋" w:hAnsi="仿宋" w:eastAsia="仿宋" w:cs="仿宋"/>
          <w:sz w:val="24"/>
        </w:rPr>
        <w:t>措施费据实结算可行性探讨</w:t>
      </w:r>
    </w:p>
    <w:p>
      <w:pPr>
        <w:spacing w:line="400" w:lineRule="exact"/>
        <w:rPr>
          <w:rFonts w:ascii="仿宋" w:hAnsi="仿宋" w:eastAsia="仿宋" w:cs="仿宋"/>
          <w:b/>
          <w:bCs/>
          <w:sz w:val="24"/>
        </w:rPr>
      </w:pPr>
      <w:r>
        <w:rPr>
          <w:rFonts w:hint="eastAsia" w:ascii="仿宋" w:hAnsi="仿宋" w:eastAsia="仿宋" w:cs="仿宋"/>
          <w:b/>
          <w:bCs/>
          <w:sz w:val="24"/>
        </w:rPr>
        <w:t>（五）结算阶段造价问题</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材料价格超合同幅度的调差工程量确定方法</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政策性风险下承包人索赔费用损失的合理性</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优化利润分配处理策略</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审计方质疑签证单工程量结算途径</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项目特征未描述情况下的实际施工调整</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非规范计量费用处理方式</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设计院施工图预算超设计概算处理方法</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设计变更下定额与市场价结算差异</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结算单价控制标准及合理性探讨</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甲供材扣除与损耗量计算问题</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甲方免责条款无效情况分析</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设计变更是否属于风险范围</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二次深化设计费用处理办法</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管理费用索赔所需依据明确</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地勘报告错误影响及项目特征调整</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单价项目总价处理及其调整合理性</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土方开挖外运单价调整主张</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材料调价差风险范围与计算方法</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静载试验等检测费用责任归属</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实际做法偏离原设计执行原投标单价问题</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新定额发布后人工费和机械费调整</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新定额发布且缺乏调整系数的处理</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隐蔽验收资料不一致时的实际计算调整</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设计变更认质核价原则选择</w:t>
      </w:r>
    </w:p>
    <w:p>
      <w:pPr>
        <w:numPr>
          <w:ilvl w:val="0"/>
          <w:numId w:val="6"/>
        </w:numPr>
        <w:spacing w:line="400" w:lineRule="exact"/>
        <w:ind w:firstLine="0"/>
        <w:rPr>
          <w:rFonts w:ascii="仿宋" w:hAnsi="仿宋" w:eastAsia="仿宋" w:cs="仿宋"/>
          <w:sz w:val="24"/>
        </w:rPr>
      </w:pPr>
      <w:r>
        <w:rPr>
          <w:rFonts w:hint="eastAsia" w:ascii="仿宋" w:hAnsi="仿宋" w:eastAsia="仿宋" w:cs="仿宋"/>
          <w:sz w:val="24"/>
        </w:rPr>
        <w:t>甲方原因停工赔偿与临建建设索赔依据</w:t>
      </w:r>
    </w:p>
    <w:p>
      <w:pPr>
        <w:spacing w:line="400" w:lineRule="exact"/>
        <w:rPr>
          <w:rFonts w:ascii="仿宋" w:hAnsi="仿宋" w:eastAsia="仿宋" w:cs="仿宋"/>
          <w:b/>
          <w:bCs/>
          <w:sz w:val="24"/>
        </w:rPr>
      </w:pPr>
      <w:r>
        <w:rPr>
          <w:rFonts w:hint="eastAsia" w:ascii="仿宋" w:hAnsi="仿宋" w:eastAsia="仿宋" w:cs="仿宋"/>
          <w:b/>
          <w:bCs/>
          <w:sz w:val="24"/>
        </w:rPr>
        <w:t>（六）结算审计与财评</w:t>
      </w:r>
    </w:p>
    <w:p>
      <w:pPr>
        <w:numPr>
          <w:ilvl w:val="0"/>
          <w:numId w:val="7"/>
        </w:numPr>
        <w:spacing w:line="400" w:lineRule="exact"/>
        <w:rPr>
          <w:rFonts w:ascii="仿宋" w:hAnsi="仿宋" w:eastAsia="仿宋" w:cs="仿宋"/>
          <w:sz w:val="24"/>
        </w:rPr>
      </w:pPr>
      <w:r>
        <w:rPr>
          <w:rFonts w:hint="eastAsia" w:ascii="仿宋" w:hAnsi="仿宋" w:eastAsia="仿宋" w:cs="仿宋"/>
          <w:sz w:val="24"/>
        </w:rPr>
        <w:t>审计方修改预算单价和合同总价的合法性</w:t>
      </w:r>
    </w:p>
    <w:p>
      <w:pPr>
        <w:numPr>
          <w:ilvl w:val="0"/>
          <w:numId w:val="7"/>
        </w:numPr>
        <w:spacing w:line="400" w:lineRule="exact"/>
        <w:rPr>
          <w:rFonts w:ascii="仿宋" w:hAnsi="仿宋" w:eastAsia="仿宋" w:cs="仿宋"/>
          <w:sz w:val="24"/>
        </w:rPr>
      </w:pPr>
      <w:r>
        <w:rPr>
          <w:rFonts w:hint="eastAsia" w:ascii="仿宋" w:hAnsi="仿宋" w:eastAsia="仿宋" w:cs="仿宋"/>
          <w:sz w:val="24"/>
        </w:rPr>
        <w:t>结算审计中乙方发票的审减依据问题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包干项目概算漏项与财评评审调整问题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政府投资EPC工程费率下浮与总价突破认定问题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行政审计与财政评审作为结算依据的约定处理</w:t>
      </w:r>
    </w:p>
    <w:p>
      <w:pPr>
        <w:numPr>
          <w:ilvl w:val="0"/>
          <w:numId w:val="7"/>
        </w:numPr>
        <w:spacing w:line="400" w:lineRule="exact"/>
        <w:rPr>
          <w:rFonts w:ascii="仿宋" w:hAnsi="仿宋" w:eastAsia="仿宋" w:cs="仿宋"/>
          <w:sz w:val="24"/>
        </w:rPr>
      </w:pPr>
      <w:r>
        <w:rPr>
          <w:rFonts w:hint="eastAsia" w:ascii="仿宋" w:hAnsi="仿宋" w:eastAsia="仿宋" w:cs="仿宋"/>
          <w:sz w:val="24"/>
        </w:rPr>
        <w:t>结算超合同价10%的地方政府红头文件要求分析</w:t>
      </w:r>
    </w:p>
    <w:p>
      <w:pPr>
        <w:numPr>
          <w:ilvl w:val="0"/>
          <w:numId w:val="7"/>
        </w:numPr>
        <w:spacing w:line="400" w:lineRule="exact"/>
        <w:rPr>
          <w:rFonts w:ascii="仿宋" w:hAnsi="仿宋" w:eastAsia="仿宋" w:cs="仿宋"/>
          <w:sz w:val="24"/>
        </w:rPr>
      </w:pPr>
      <w:r>
        <w:rPr>
          <w:rFonts w:hint="eastAsia" w:ascii="仿宋" w:hAnsi="仿宋" w:eastAsia="仿宋" w:cs="仿宋"/>
          <w:sz w:val="24"/>
        </w:rPr>
        <w:t>审计中契约依据不足的付款情况探讨</w:t>
      </w:r>
    </w:p>
    <w:p>
      <w:pPr>
        <w:numPr>
          <w:ilvl w:val="0"/>
          <w:numId w:val="7"/>
        </w:numPr>
        <w:spacing w:line="400" w:lineRule="exact"/>
        <w:rPr>
          <w:rFonts w:ascii="仿宋" w:hAnsi="仿宋" w:eastAsia="仿宋" w:cs="仿宋"/>
          <w:sz w:val="24"/>
        </w:rPr>
      </w:pPr>
      <w:r>
        <w:rPr>
          <w:rFonts w:hint="eastAsia" w:ascii="仿宋" w:hAnsi="仿宋" w:eastAsia="仿宋" w:cs="仿宋"/>
          <w:sz w:val="24"/>
        </w:rPr>
        <w:t>概算编制方法适用条件及EPC项目相关问题处理</w:t>
      </w:r>
    </w:p>
    <w:p>
      <w:pPr>
        <w:numPr>
          <w:ilvl w:val="0"/>
          <w:numId w:val="7"/>
        </w:numPr>
        <w:spacing w:line="400" w:lineRule="exact"/>
        <w:rPr>
          <w:rFonts w:ascii="仿宋" w:hAnsi="仿宋" w:eastAsia="仿宋" w:cs="仿宋"/>
          <w:sz w:val="24"/>
        </w:rPr>
      </w:pPr>
      <w:r>
        <w:rPr>
          <w:rFonts w:hint="eastAsia" w:ascii="仿宋" w:hAnsi="仿宋" w:eastAsia="仿宋" w:cs="仿宋"/>
          <w:sz w:val="24"/>
        </w:rPr>
        <w:t>决算审核部门结果作为结算依据的有效性</w:t>
      </w:r>
    </w:p>
    <w:p>
      <w:pPr>
        <w:numPr>
          <w:ilvl w:val="0"/>
          <w:numId w:val="7"/>
        </w:numPr>
        <w:spacing w:line="400" w:lineRule="exact"/>
        <w:rPr>
          <w:rFonts w:ascii="仿宋" w:hAnsi="仿宋" w:eastAsia="仿宋" w:cs="仿宋"/>
          <w:sz w:val="24"/>
        </w:rPr>
      </w:pPr>
      <w:r>
        <w:rPr>
          <w:rFonts w:hint="eastAsia" w:ascii="仿宋" w:hAnsi="仿宋" w:eastAsia="仿宋" w:cs="仿宋"/>
          <w:sz w:val="24"/>
        </w:rPr>
        <w:t>现场实际发生费用未经认定的结算问题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立项金额错误或偏低对结算的影响</w:t>
      </w:r>
    </w:p>
    <w:p>
      <w:pPr>
        <w:numPr>
          <w:ilvl w:val="0"/>
          <w:numId w:val="7"/>
        </w:numPr>
        <w:spacing w:line="400" w:lineRule="exact"/>
        <w:rPr>
          <w:rFonts w:ascii="仿宋" w:hAnsi="仿宋" w:eastAsia="仿宋" w:cs="仿宋"/>
          <w:sz w:val="24"/>
        </w:rPr>
      </w:pPr>
      <w:r>
        <w:rPr>
          <w:rFonts w:hint="eastAsia" w:ascii="仿宋" w:hAnsi="仿宋" w:eastAsia="仿宋" w:cs="仿宋"/>
          <w:sz w:val="24"/>
        </w:rPr>
        <w:t>政府投资EPC项目设计与变更的财评结果作用</w:t>
      </w:r>
    </w:p>
    <w:p>
      <w:pPr>
        <w:numPr>
          <w:ilvl w:val="0"/>
          <w:numId w:val="7"/>
        </w:numPr>
        <w:spacing w:line="400" w:lineRule="exact"/>
        <w:rPr>
          <w:rFonts w:ascii="仿宋" w:hAnsi="仿宋" w:eastAsia="仿宋" w:cs="仿宋"/>
          <w:sz w:val="24"/>
        </w:rPr>
      </w:pPr>
      <w:r>
        <w:rPr>
          <w:rFonts w:hint="eastAsia" w:ascii="仿宋" w:hAnsi="仿宋" w:eastAsia="仿宋" w:cs="仿宋"/>
          <w:sz w:val="24"/>
        </w:rPr>
        <w:t>按照造价咨询结论支付后审计机关提出审减的处理</w:t>
      </w:r>
    </w:p>
    <w:p>
      <w:pPr>
        <w:numPr>
          <w:ilvl w:val="0"/>
          <w:numId w:val="7"/>
        </w:numPr>
        <w:spacing w:line="400" w:lineRule="exact"/>
        <w:rPr>
          <w:rFonts w:ascii="仿宋" w:hAnsi="仿宋" w:eastAsia="仿宋" w:cs="仿宋"/>
          <w:sz w:val="24"/>
        </w:rPr>
      </w:pPr>
      <w:r>
        <w:rPr>
          <w:rFonts w:hint="eastAsia" w:ascii="仿宋" w:hAnsi="仿宋" w:eastAsia="仿宋" w:cs="仿宋"/>
          <w:sz w:val="24"/>
        </w:rPr>
        <w:t>实际完成量高于预算清单总价包干的后果处理</w:t>
      </w:r>
    </w:p>
    <w:p>
      <w:pPr>
        <w:numPr>
          <w:ilvl w:val="0"/>
          <w:numId w:val="7"/>
        </w:numPr>
        <w:spacing w:line="400" w:lineRule="exact"/>
        <w:rPr>
          <w:rFonts w:ascii="仿宋" w:hAnsi="仿宋" w:eastAsia="仿宋" w:cs="仿宋"/>
          <w:sz w:val="24"/>
        </w:rPr>
      </w:pPr>
      <w:r>
        <w:rPr>
          <w:rFonts w:hint="eastAsia" w:ascii="仿宋" w:hAnsi="仿宋" w:eastAsia="仿宋" w:cs="仿宋"/>
          <w:sz w:val="24"/>
        </w:rPr>
        <w:t>审计机构资质范围外出具的审计报告效力问题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发包人竣工决算审计结果对承包人结算方式影响</w:t>
      </w:r>
    </w:p>
    <w:p>
      <w:pPr>
        <w:numPr>
          <w:ilvl w:val="0"/>
          <w:numId w:val="7"/>
        </w:numPr>
        <w:spacing w:line="400" w:lineRule="exact"/>
        <w:rPr>
          <w:rFonts w:ascii="仿宋" w:hAnsi="仿宋" w:eastAsia="仿宋" w:cs="仿宋"/>
          <w:sz w:val="24"/>
        </w:rPr>
      </w:pPr>
      <w:r>
        <w:rPr>
          <w:rFonts w:hint="eastAsia" w:ascii="仿宋" w:hAnsi="仿宋" w:eastAsia="仿宋" w:cs="仿宋"/>
          <w:sz w:val="24"/>
        </w:rPr>
        <w:t>完善手续签证或补充协议被审计扣款的情况分析</w:t>
      </w:r>
    </w:p>
    <w:p>
      <w:pPr>
        <w:numPr>
          <w:ilvl w:val="0"/>
          <w:numId w:val="7"/>
        </w:numPr>
        <w:spacing w:line="400" w:lineRule="exact"/>
        <w:rPr>
          <w:rFonts w:ascii="仿宋" w:hAnsi="仿宋" w:eastAsia="仿宋" w:cs="仿宋"/>
          <w:sz w:val="24"/>
        </w:rPr>
      </w:pPr>
      <w:r>
        <w:rPr>
          <w:rFonts w:hint="eastAsia" w:ascii="仿宋" w:hAnsi="仿宋" w:eastAsia="仿宋" w:cs="仿宋"/>
          <w:sz w:val="24"/>
        </w:rPr>
        <w:t>行政审计无法进行时司法鉴定准许性问题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以审计结论为结算依据的变更约定可能性探讨</w:t>
      </w:r>
    </w:p>
    <w:p>
      <w:pPr>
        <w:numPr>
          <w:ilvl w:val="0"/>
          <w:numId w:val="7"/>
        </w:numPr>
        <w:spacing w:line="400" w:lineRule="exact"/>
        <w:rPr>
          <w:rFonts w:ascii="仿宋" w:hAnsi="仿宋" w:eastAsia="仿宋" w:cs="仿宋"/>
          <w:sz w:val="24"/>
        </w:rPr>
      </w:pPr>
      <w:r>
        <w:rPr>
          <w:rFonts w:hint="eastAsia" w:ascii="仿宋" w:hAnsi="仿宋" w:eastAsia="仿宋" w:cs="仿宋"/>
          <w:sz w:val="24"/>
        </w:rPr>
        <w:t>结算协议确认后国家审计结论的影响程度</w:t>
      </w:r>
    </w:p>
    <w:p>
      <w:pPr>
        <w:numPr>
          <w:ilvl w:val="0"/>
          <w:numId w:val="7"/>
        </w:numPr>
        <w:spacing w:line="400" w:lineRule="exact"/>
        <w:rPr>
          <w:rFonts w:ascii="仿宋" w:hAnsi="仿宋" w:eastAsia="仿宋" w:cs="仿宋"/>
          <w:sz w:val="24"/>
        </w:rPr>
      </w:pPr>
      <w:r>
        <w:rPr>
          <w:rFonts w:hint="eastAsia" w:ascii="仿宋" w:hAnsi="仿宋" w:eastAsia="仿宋" w:cs="仿宋"/>
          <w:sz w:val="24"/>
        </w:rPr>
        <w:t>暂估价与总承包服务费用计取问题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材料调价差风险范围及相关计算方式问题</w:t>
      </w:r>
    </w:p>
    <w:p>
      <w:pPr>
        <w:numPr>
          <w:ilvl w:val="0"/>
          <w:numId w:val="7"/>
        </w:numPr>
        <w:spacing w:line="400" w:lineRule="exact"/>
        <w:rPr>
          <w:rFonts w:ascii="仿宋" w:hAnsi="仿宋" w:eastAsia="仿宋" w:cs="仿宋"/>
          <w:sz w:val="24"/>
        </w:rPr>
      </w:pPr>
      <w:r>
        <w:rPr>
          <w:rFonts w:hint="eastAsia" w:ascii="仿宋" w:hAnsi="仿宋" w:eastAsia="仿宋" w:cs="仿宋"/>
          <w:sz w:val="24"/>
        </w:rPr>
        <w:t>红线外内容结算处理方法探究</w:t>
      </w:r>
    </w:p>
    <w:p>
      <w:pPr>
        <w:numPr>
          <w:ilvl w:val="0"/>
          <w:numId w:val="7"/>
        </w:numPr>
        <w:spacing w:line="400" w:lineRule="exact"/>
        <w:rPr>
          <w:rFonts w:ascii="仿宋" w:hAnsi="仿宋" w:eastAsia="仿宋" w:cs="仿宋"/>
          <w:sz w:val="24"/>
        </w:rPr>
      </w:pPr>
      <w:r>
        <w:rPr>
          <w:rFonts w:hint="eastAsia" w:ascii="仿宋" w:hAnsi="仿宋" w:eastAsia="仿宋" w:cs="仿宋"/>
          <w:sz w:val="24"/>
        </w:rPr>
        <w:t>政府审计结果对双方结算协议履行的影响</w:t>
      </w:r>
    </w:p>
    <w:p>
      <w:pPr>
        <w:numPr>
          <w:ilvl w:val="0"/>
          <w:numId w:val="7"/>
        </w:numPr>
        <w:spacing w:line="400" w:lineRule="exact"/>
        <w:rPr>
          <w:rFonts w:ascii="仿宋" w:hAnsi="仿宋" w:eastAsia="仿宋" w:cs="仿宋"/>
          <w:sz w:val="24"/>
        </w:rPr>
      </w:pPr>
      <w:r>
        <w:rPr>
          <w:rFonts w:hint="eastAsia" w:ascii="仿宋" w:hAnsi="仿宋" w:eastAsia="仿宋" w:cs="仿宋"/>
          <w:sz w:val="24"/>
        </w:rPr>
        <w:t>政府投资EPC项目采购价格确定方式探讨</w:t>
      </w:r>
    </w:p>
    <w:p>
      <w:pPr>
        <w:spacing w:line="400" w:lineRule="exact"/>
        <w:rPr>
          <w:rFonts w:ascii="仿宋" w:hAnsi="仿宋" w:eastAsia="仿宋" w:cs="仿宋"/>
          <w:b/>
          <w:bCs/>
          <w:sz w:val="24"/>
        </w:rPr>
      </w:pPr>
      <w:r>
        <w:rPr>
          <w:rFonts w:hint="eastAsia" w:ascii="仿宋" w:hAnsi="仿宋" w:eastAsia="仿宋" w:cs="仿宋"/>
          <w:b/>
          <w:bCs/>
          <w:sz w:val="24"/>
        </w:rPr>
        <w:t>二、培训对象</w:t>
      </w:r>
    </w:p>
    <w:p>
      <w:pPr>
        <w:spacing w:line="400" w:lineRule="exact"/>
        <w:ind w:firstLine="480" w:firstLineChars="200"/>
        <w:rPr>
          <w:rFonts w:ascii="仿宋" w:hAnsi="仿宋" w:eastAsia="仿宋" w:cs="仿宋"/>
          <w:sz w:val="24"/>
        </w:rPr>
      </w:pPr>
      <w:r>
        <w:rPr>
          <w:rFonts w:hint="eastAsia" w:ascii="仿宋" w:hAnsi="仿宋" w:eastAsia="仿宋" w:cs="仿宋"/>
          <w:sz w:val="24"/>
        </w:rPr>
        <w:t>建设行政主管部门、工程建设企业（工程承包、建筑施工、勘察设计、房地产开发、工程项目管理、工程监理、工程咨询、招标办、公共资源交易中心、工程交易中心、投资项目评审中心、工程造价、招标代理等）总经理、总造价顾问、法务总监、总工程师、项目管理、市场开发、商务谈判、招标投标、合同管理、成本管理等中高级管理人员以及业务相关的直线经理人等。</w:t>
      </w:r>
    </w:p>
    <w:p>
      <w:pPr>
        <w:spacing w:line="360" w:lineRule="auto"/>
        <w:rPr>
          <w:rFonts w:ascii="仿宋" w:hAnsi="仿宋" w:eastAsia="仿宋" w:cs="仿宋"/>
          <w:b/>
          <w:bCs/>
          <w:kern w:val="0"/>
          <w:sz w:val="24"/>
        </w:rPr>
      </w:pPr>
      <w:r>
        <w:rPr>
          <w:rFonts w:hint="eastAsia" w:ascii="仿宋" w:hAnsi="仿宋" w:eastAsia="仿宋" w:cs="仿宋"/>
          <w:b/>
          <w:bCs/>
          <w:kern w:val="0"/>
          <w:sz w:val="24"/>
        </w:rPr>
        <w:t>三、时间地点</w:t>
      </w:r>
    </w:p>
    <w:p>
      <w:pPr>
        <w:pStyle w:val="4"/>
        <w:spacing w:before="222" w:line="222" w:lineRule="auto"/>
        <w:ind w:left="512"/>
        <w:rPr>
          <w:spacing w:val="-2"/>
          <w:lang w:eastAsia="zh-CN"/>
        </w:rPr>
      </w:pPr>
      <w:r>
        <w:rPr>
          <w:rFonts w:hint="eastAsia"/>
          <w:spacing w:val="-2"/>
          <w:lang w:eastAsia="zh-CN"/>
        </w:rPr>
        <w:t>2024年7月18日-21日 （18日全天报到）   北京市</w:t>
      </w:r>
    </w:p>
    <w:p>
      <w:pPr>
        <w:pStyle w:val="4"/>
        <w:spacing w:before="222" w:line="222" w:lineRule="auto"/>
        <w:ind w:left="512"/>
        <w:rPr>
          <w:rFonts w:ascii="微软雅黑" w:hAnsi="微软雅黑" w:eastAsia="微软雅黑"/>
          <w:b/>
          <w:lang w:eastAsia="zh-CN"/>
        </w:rPr>
      </w:pPr>
      <w:r>
        <w:rPr>
          <w:rFonts w:hint="eastAsia"/>
          <w:spacing w:val="-2"/>
          <w:lang w:eastAsia="zh-CN"/>
        </w:rPr>
        <w:t xml:space="preserve">2024年8月22日-25日 （22日全天报到）   </w:t>
      </w:r>
      <w:r>
        <w:rPr>
          <w:rFonts w:hint="eastAsia"/>
          <w:spacing w:val="-2"/>
          <w:lang w:val="en-US" w:eastAsia="zh-CN"/>
        </w:rPr>
        <w:t>长沙</w:t>
      </w:r>
      <w:r>
        <w:rPr>
          <w:rFonts w:hint="eastAsia"/>
          <w:spacing w:val="-2"/>
          <w:lang w:eastAsia="zh-CN"/>
        </w:rPr>
        <w:t>市</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具体地点于开班前一周通知。</w:t>
      </w:r>
    </w:p>
    <w:p>
      <w:pPr>
        <w:spacing w:line="360" w:lineRule="auto"/>
        <w:rPr>
          <w:rFonts w:ascii="仿宋" w:hAnsi="仿宋" w:eastAsia="仿宋" w:cs="仿宋"/>
          <w:b/>
          <w:bCs/>
          <w:kern w:val="0"/>
          <w:sz w:val="24"/>
        </w:rPr>
      </w:pPr>
      <w:r>
        <w:rPr>
          <w:rFonts w:hint="eastAsia" w:ascii="仿宋" w:hAnsi="仿宋" w:eastAsia="仿宋" w:cs="仿宋"/>
          <w:b/>
          <w:bCs/>
          <w:kern w:val="0"/>
          <w:sz w:val="24"/>
        </w:rPr>
        <w:t>四、相关费用</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培训费：3280元/人（含专家费、资料费、电子课件、场地、会议期间午餐），住宿统一安排，费用自理。</w:t>
      </w:r>
    </w:p>
    <w:p>
      <w:pPr>
        <w:spacing w:line="360" w:lineRule="auto"/>
        <w:rPr>
          <w:rFonts w:ascii="仿宋" w:hAnsi="仿宋" w:eastAsia="仿宋" w:cs="仿宋"/>
          <w:b/>
          <w:bCs/>
          <w:kern w:val="0"/>
          <w:sz w:val="24"/>
        </w:rPr>
      </w:pPr>
      <w:r>
        <w:rPr>
          <w:rFonts w:hint="eastAsia" w:ascii="仿宋" w:hAnsi="仿宋" w:eastAsia="仿宋" w:cs="仿宋"/>
          <w:b/>
          <w:bCs/>
          <w:kern w:val="0"/>
          <w:sz w:val="24"/>
        </w:rPr>
        <w:t>五、联系方式</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报名负责人：聂红军 主任18211071700（微信）   </w:t>
      </w:r>
    </w:p>
    <w:p>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电    话：13141289128        邮    箱：zqgphwz@126.com  </w:t>
      </w:r>
    </w:p>
    <w:p>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qq咨询：3177524020          网    址：http://www.zqgpchina.cn</w:t>
      </w:r>
      <w:r>
        <w:rPr>
          <w:rFonts w:hint="eastAsia" w:ascii="仿宋" w:hAnsi="仿宋" w:eastAsia="仿宋" w:cs="仿宋"/>
          <w:kern w:val="0"/>
          <w:sz w:val="24"/>
        </w:rPr>
        <w:drawing>
          <wp:anchor distT="0" distB="0" distL="114300" distR="114300" simplePos="0" relativeHeight="251660288" behindDoc="1" locked="0" layoutInCell="1" allowOverlap="1">
            <wp:simplePos x="0" y="0"/>
            <wp:positionH relativeFrom="column">
              <wp:posOffset>3258820</wp:posOffset>
            </wp:positionH>
            <wp:positionV relativeFrom="paragraph">
              <wp:posOffset>248285</wp:posOffset>
            </wp:positionV>
            <wp:extent cx="2679700" cy="1905000"/>
            <wp:effectExtent l="0" t="0" r="0" b="0"/>
            <wp:wrapNone/>
            <wp:docPr id="3" name="图片 3" descr="建术公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建术公章12"/>
                    <pic:cNvPicPr>
                      <a:picLocks noChangeAspect="1"/>
                    </pic:cNvPicPr>
                  </pic:nvPicPr>
                  <pic:blipFill>
                    <a:blip r:embed="rId4" cstate="print"/>
                    <a:stretch>
                      <a:fillRect/>
                    </a:stretch>
                  </pic:blipFill>
                  <pic:spPr>
                    <a:xfrm>
                      <a:off x="0" y="0"/>
                      <a:ext cx="2679700" cy="1905000"/>
                    </a:xfrm>
                    <a:prstGeom prst="rect">
                      <a:avLst/>
                    </a:prstGeom>
                    <a:noFill/>
                    <a:ln>
                      <a:noFill/>
                    </a:ln>
                  </pic:spPr>
                </pic:pic>
              </a:graphicData>
            </a:graphic>
          </wp:anchor>
        </w:drawing>
      </w:r>
    </w:p>
    <w:p>
      <w:pPr>
        <w:rPr>
          <w:rFonts w:ascii="仿宋" w:hAnsi="仿宋" w:eastAsia="仿宋" w:cs="仿宋"/>
          <w:kern w:val="0"/>
          <w:sz w:val="24"/>
        </w:rPr>
      </w:pPr>
    </w:p>
    <w:p>
      <w:pPr>
        <w:jc w:val="center"/>
        <w:rPr>
          <w:rFonts w:ascii="仿宋" w:hAnsi="仿宋" w:eastAsia="仿宋" w:cs="仿宋"/>
          <w:kern w:val="0"/>
          <w:sz w:val="24"/>
        </w:rPr>
      </w:pPr>
    </w:p>
    <w:p>
      <w:pPr>
        <w:pStyle w:val="2"/>
        <w:rPr>
          <w:rFonts w:ascii="仿宋" w:hAnsi="仿宋" w:eastAsia="仿宋" w:cs="仿宋"/>
          <w:kern w:val="0"/>
          <w:sz w:val="24"/>
        </w:rPr>
      </w:pPr>
    </w:p>
    <w:p>
      <w:pPr>
        <w:pStyle w:val="2"/>
        <w:rPr>
          <w:rFonts w:ascii="仿宋" w:hAnsi="仿宋" w:eastAsia="仿宋" w:cs="仿宋"/>
          <w:kern w:val="0"/>
          <w:sz w:val="24"/>
        </w:rPr>
      </w:pPr>
    </w:p>
    <w:p>
      <w:pPr>
        <w:jc w:val="right"/>
      </w:pPr>
      <w:r>
        <w:rPr>
          <w:rFonts w:hint="eastAsia" w:ascii="仿宋" w:hAnsi="仿宋" w:eastAsia="仿宋" w:cs="仿宋"/>
          <w:kern w:val="0"/>
          <w:sz w:val="24"/>
        </w:rPr>
        <w:t>北京建术信息科技研究院有限公司</w:t>
      </w:r>
    </w:p>
    <w:p>
      <w:pPr>
        <w:ind w:right="480"/>
        <w:jc w:val="center"/>
        <w:rPr>
          <w:rFonts w:ascii="仿宋" w:hAnsi="仿宋" w:eastAsia="仿宋" w:cs="仿宋"/>
        </w:rPr>
      </w:pPr>
      <w:r>
        <w:rPr>
          <w:rFonts w:hint="eastAsia" w:ascii="仿宋" w:hAnsi="仿宋" w:eastAsia="仿宋" w:cs="仿宋"/>
          <w:kern w:val="0"/>
          <w:sz w:val="24"/>
        </w:rPr>
        <w:t xml:space="preserve">                                                2024年5月</w:t>
      </w:r>
      <w:r>
        <w:rPr>
          <w:rFonts w:hint="eastAsia" w:ascii="仿宋" w:hAnsi="仿宋" w:eastAsia="仿宋" w:cs="仿宋"/>
          <w:kern w:val="0"/>
          <w:sz w:val="24"/>
          <w:lang w:val="en-US" w:eastAsia="zh-CN"/>
        </w:rPr>
        <w:t>27</w:t>
      </w:r>
      <w:r>
        <w:rPr>
          <w:rFonts w:hint="eastAsia" w:ascii="仿宋" w:hAnsi="仿宋" w:eastAsia="仿宋" w:cs="仿宋"/>
          <w:kern w:val="0"/>
          <w:sz w:val="24"/>
        </w:rPr>
        <w:t>日</w:t>
      </w:r>
    </w:p>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firstLine="480"/>
      </w:pPr>
    </w:p>
    <w:p>
      <w:pPr>
        <w:pStyle w:val="2"/>
        <w:ind w:left="0" w:leftChars="0" w:firstLine="0" w:firstLineChars="0"/>
      </w:pPr>
    </w:p>
    <w:p>
      <w:pPr>
        <w:pStyle w:val="2"/>
        <w:ind w:firstLine="480"/>
      </w:pPr>
    </w:p>
    <w:p>
      <w:pPr>
        <w:pStyle w:val="2"/>
        <w:ind w:firstLine="480"/>
      </w:pPr>
    </w:p>
    <w:p>
      <w:pPr>
        <w:pStyle w:val="2"/>
        <w:ind w:firstLine="480"/>
      </w:pPr>
    </w:p>
    <w:p>
      <w:pPr>
        <w:pStyle w:val="2"/>
        <w:ind w:firstLine="480"/>
      </w:pPr>
    </w:p>
    <w:p>
      <w:pPr>
        <w:spacing w:line="400" w:lineRule="exact"/>
        <w:ind w:right="80" w:rightChars="38"/>
        <w:rPr>
          <w:rFonts w:ascii="黑体" w:hAnsi="黑体" w:eastAsia="黑体" w:cs="Arial"/>
          <w:color w:val="000000"/>
          <w:sz w:val="32"/>
          <w:szCs w:val="32"/>
        </w:rPr>
      </w:pPr>
      <w:r>
        <w:rPr>
          <w:rStyle w:val="8"/>
          <w:rFonts w:hint="eastAsia" w:ascii="黑体" w:hAnsi="黑体" w:eastAsia="黑体" w:cs="宋体"/>
          <w:color w:val="000000"/>
          <w:sz w:val="28"/>
          <w:szCs w:val="28"/>
        </w:rPr>
        <w:t>附件</w:t>
      </w:r>
      <w:r>
        <w:rPr>
          <w:rStyle w:val="8"/>
          <w:rFonts w:ascii="黑体" w:hAnsi="黑体" w:eastAsia="黑体" w:cs="宋体"/>
          <w:color w:val="000000"/>
          <w:sz w:val="28"/>
          <w:szCs w:val="28"/>
        </w:rPr>
        <w:t>2</w:t>
      </w:r>
      <w:r>
        <w:rPr>
          <w:rStyle w:val="8"/>
          <w:rFonts w:hint="eastAsia" w:ascii="黑体" w:hAnsi="黑体" w:eastAsia="黑体" w:cs="宋体"/>
          <w:color w:val="000000"/>
          <w:sz w:val="28"/>
          <w:szCs w:val="28"/>
        </w:rPr>
        <w:t>：</w:t>
      </w:r>
      <w:r>
        <w:rPr>
          <w:rStyle w:val="8"/>
          <w:rFonts w:ascii="黑体" w:hAnsi="黑体" w:eastAsia="黑体" w:cs="宋体"/>
          <w:color w:val="000000"/>
          <w:sz w:val="28"/>
          <w:szCs w:val="28"/>
        </w:rPr>
        <w:t xml:space="preserve">                   </w:t>
      </w:r>
      <w:r>
        <w:rPr>
          <w:rFonts w:hint="eastAsia" w:ascii="黑体" w:hAnsi="黑体" w:eastAsia="黑体" w:cs="Arial"/>
          <w:color w:val="000000"/>
          <w:sz w:val="32"/>
          <w:szCs w:val="32"/>
        </w:rPr>
        <w:t>报名回执表</w:t>
      </w:r>
    </w:p>
    <w:tbl>
      <w:tblPr>
        <w:tblStyle w:val="6"/>
        <w:tblpPr w:leftFromText="180" w:rightFromText="180" w:vertAnchor="text" w:horzAnchor="page" w:tblpXSpec="center" w:tblpY="187"/>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935"/>
        <w:gridCol w:w="1208"/>
        <w:gridCol w:w="1417"/>
        <w:gridCol w:w="986"/>
        <w:gridCol w:w="996"/>
        <w:gridCol w:w="50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单位名称</w:t>
            </w:r>
          </w:p>
        </w:tc>
        <w:tc>
          <w:tcPr>
            <w:tcW w:w="4546" w:type="dxa"/>
            <w:gridSpan w:val="4"/>
            <w:noWrap/>
            <w:vAlign w:val="center"/>
          </w:tcPr>
          <w:p>
            <w:pPr>
              <w:spacing w:line="360" w:lineRule="exact"/>
              <w:ind w:right="80" w:rightChars="38"/>
              <w:rPr>
                <w:rFonts w:ascii="仿宋" w:hAnsi="仿宋" w:eastAsia="仿宋" w:cs="仿宋"/>
                <w:bCs/>
                <w:sz w:val="24"/>
              </w:rPr>
            </w:pPr>
          </w:p>
        </w:tc>
        <w:tc>
          <w:tcPr>
            <w:tcW w:w="996"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邮编</w:t>
            </w:r>
          </w:p>
        </w:tc>
        <w:tc>
          <w:tcPr>
            <w:tcW w:w="1452" w:type="dxa"/>
            <w:gridSpan w:val="2"/>
            <w:noWrap/>
            <w:vAlign w:val="center"/>
          </w:tcPr>
          <w:p>
            <w:pPr>
              <w:spacing w:line="360" w:lineRule="exact"/>
              <w:ind w:left="149" w:right="80" w:rightChars="38" w:hanging="148" w:hangingChars="62"/>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详细地址</w:t>
            </w:r>
          </w:p>
        </w:tc>
        <w:tc>
          <w:tcPr>
            <w:tcW w:w="6994" w:type="dxa"/>
            <w:gridSpan w:val="7"/>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联系人</w:t>
            </w:r>
          </w:p>
        </w:tc>
        <w:tc>
          <w:tcPr>
            <w:tcW w:w="3560" w:type="dxa"/>
            <w:gridSpan w:val="3"/>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keepNext/>
              <w:spacing w:line="360" w:lineRule="exact"/>
              <w:ind w:right="80" w:rightChars="38"/>
              <w:outlineLvl w:val="0"/>
              <w:rPr>
                <w:rFonts w:ascii="仿宋" w:hAnsi="仿宋" w:eastAsia="仿宋" w:cs="仿宋"/>
                <w:bCs/>
                <w:sz w:val="24"/>
              </w:rPr>
            </w:pPr>
            <w:r>
              <w:rPr>
                <w:rFonts w:hint="eastAsia" w:ascii="仿宋" w:hAnsi="仿宋" w:eastAsia="仿宋" w:cs="仿宋"/>
                <w:bCs/>
                <w:sz w:val="24"/>
              </w:rPr>
              <w:t>E-mail</w:t>
            </w: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电话（区号）</w:t>
            </w:r>
          </w:p>
        </w:tc>
        <w:tc>
          <w:tcPr>
            <w:tcW w:w="3560" w:type="dxa"/>
            <w:gridSpan w:val="3"/>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传真</w:t>
            </w: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参班代表姓名</w:t>
            </w:r>
          </w:p>
        </w:tc>
        <w:tc>
          <w:tcPr>
            <w:tcW w:w="935"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性别</w:t>
            </w:r>
          </w:p>
        </w:tc>
        <w:tc>
          <w:tcPr>
            <w:tcW w:w="1208"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部门</w:t>
            </w:r>
          </w:p>
        </w:tc>
        <w:tc>
          <w:tcPr>
            <w:tcW w:w="1417" w:type="dxa"/>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职务</w:t>
            </w:r>
          </w:p>
        </w:tc>
        <w:tc>
          <w:tcPr>
            <w:tcW w:w="1982"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手机</w:t>
            </w:r>
          </w:p>
        </w:tc>
        <w:tc>
          <w:tcPr>
            <w:tcW w:w="1452" w:type="dxa"/>
            <w:gridSpan w:val="2"/>
            <w:noWrap/>
            <w:vAlign w:val="center"/>
          </w:tcPr>
          <w:p>
            <w:pPr>
              <w:spacing w:line="360" w:lineRule="exact"/>
              <w:ind w:right="80" w:rightChars="38"/>
              <w:jc w:val="center"/>
              <w:rPr>
                <w:rFonts w:ascii="仿宋" w:hAnsi="仿宋" w:eastAsia="仿宋" w:cs="仿宋"/>
                <w:bCs/>
                <w:sz w:val="24"/>
              </w:rPr>
            </w:pPr>
            <w:r>
              <w:rPr>
                <w:rFonts w:hint="eastAsia" w:ascii="仿宋" w:hAnsi="仿宋" w:eastAsia="仿宋" w:cs="仿宋"/>
                <w:bCs/>
                <w:sz w:val="24"/>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p>
        </w:tc>
        <w:tc>
          <w:tcPr>
            <w:tcW w:w="935" w:type="dxa"/>
            <w:noWrap/>
            <w:vAlign w:val="center"/>
          </w:tcPr>
          <w:p>
            <w:pPr>
              <w:spacing w:line="360" w:lineRule="exact"/>
              <w:ind w:right="80" w:rightChars="38"/>
              <w:rPr>
                <w:rFonts w:ascii="仿宋" w:hAnsi="仿宋" w:eastAsia="仿宋" w:cs="仿宋"/>
                <w:bCs/>
                <w:sz w:val="24"/>
              </w:rPr>
            </w:pPr>
          </w:p>
        </w:tc>
        <w:tc>
          <w:tcPr>
            <w:tcW w:w="1208" w:type="dxa"/>
            <w:noWrap/>
            <w:vAlign w:val="center"/>
          </w:tcPr>
          <w:p>
            <w:pPr>
              <w:spacing w:line="360" w:lineRule="exact"/>
              <w:ind w:right="80" w:rightChars="38"/>
              <w:rPr>
                <w:rFonts w:ascii="仿宋" w:hAnsi="仿宋" w:eastAsia="仿宋" w:cs="仿宋"/>
                <w:bCs/>
                <w:sz w:val="24"/>
              </w:rPr>
            </w:pPr>
          </w:p>
        </w:tc>
        <w:tc>
          <w:tcPr>
            <w:tcW w:w="1417" w:type="dxa"/>
            <w:noWrap/>
            <w:vAlign w:val="center"/>
          </w:tcPr>
          <w:p>
            <w:pPr>
              <w:spacing w:line="360" w:lineRule="exact"/>
              <w:ind w:right="80" w:rightChars="38"/>
              <w:rPr>
                <w:rFonts w:ascii="仿宋" w:hAnsi="仿宋" w:eastAsia="仿宋" w:cs="仿宋"/>
                <w:bCs/>
                <w:sz w:val="24"/>
              </w:rPr>
            </w:pPr>
          </w:p>
        </w:tc>
        <w:tc>
          <w:tcPr>
            <w:tcW w:w="1982" w:type="dxa"/>
            <w:gridSpan w:val="2"/>
            <w:noWrap/>
            <w:vAlign w:val="center"/>
          </w:tcPr>
          <w:p>
            <w:pPr>
              <w:spacing w:line="360" w:lineRule="exact"/>
              <w:ind w:right="80" w:rightChars="38"/>
              <w:rPr>
                <w:rFonts w:ascii="仿宋" w:hAnsi="仿宋" w:eastAsia="仿宋" w:cs="仿宋"/>
                <w:bCs/>
                <w:sz w:val="24"/>
              </w:rPr>
            </w:pPr>
          </w:p>
        </w:tc>
        <w:tc>
          <w:tcPr>
            <w:tcW w:w="1452" w:type="dxa"/>
            <w:gridSpan w:val="2"/>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住宿安排</w:t>
            </w:r>
          </w:p>
        </w:tc>
        <w:tc>
          <w:tcPr>
            <w:tcW w:w="6994" w:type="dxa"/>
            <w:gridSpan w:val="7"/>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□单间    □标间   订房数量</w:t>
            </w:r>
            <w:r>
              <w:rPr>
                <w:rFonts w:hint="eastAsia" w:ascii="仿宋" w:hAnsi="仿宋" w:eastAsia="仿宋" w:cs="仿宋"/>
                <w:bCs/>
                <w:sz w:val="24"/>
                <w:u w:val="single"/>
              </w:rPr>
              <w:t xml:space="preserve">    </w:t>
            </w:r>
            <w:r>
              <w:rPr>
                <w:rFonts w:hint="eastAsia" w:ascii="仿宋" w:hAnsi="仿宋" w:eastAsia="仿宋" w:cs="仿宋"/>
                <w:bCs/>
                <w:sz w:val="24"/>
              </w:rPr>
              <w:t>间    □否    □自行安排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参会地点</w:t>
            </w:r>
          </w:p>
        </w:tc>
        <w:tc>
          <w:tcPr>
            <w:tcW w:w="4546" w:type="dxa"/>
            <w:gridSpan w:val="4"/>
            <w:noWrap/>
            <w:vAlign w:val="center"/>
          </w:tcPr>
          <w:p>
            <w:pPr>
              <w:spacing w:line="360" w:lineRule="exact"/>
              <w:ind w:right="80" w:rightChars="38"/>
              <w:rPr>
                <w:rFonts w:hint="default" w:ascii="仿宋" w:hAnsi="仿宋" w:eastAsia="仿宋" w:cs="仿宋"/>
                <w:bCs/>
                <w:sz w:val="24"/>
                <w:lang w:val="en-US" w:eastAsia="zh-CN"/>
              </w:rPr>
            </w:pPr>
            <w:r>
              <w:rPr>
                <w:rFonts w:hint="eastAsia" w:ascii="仿宋" w:hAnsi="仿宋" w:eastAsia="仿宋" w:cs="仿宋"/>
                <w:bCs/>
                <w:sz w:val="24"/>
              </w:rPr>
              <w:t>□北京   □</w:t>
            </w:r>
            <w:r>
              <w:rPr>
                <w:rFonts w:hint="eastAsia" w:ascii="仿宋" w:hAnsi="仿宋" w:eastAsia="仿宋" w:cs="仿宋"/>
                <w:bCs/>
                <w:sz w:val="24"/>
                <w:lang w:val="en-US" w:eastAsia="zh-CN"/>
              </w:rPr>
              <w:t>长沙</w:t>
            </w:r>
          </w:p>
        </w:tc>
        <w:tc>
          <w:tcPr>
            <w:tcW w:w="1500" w:type="dxa"/>
            <w:gridSpan w:val="2"/>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培训费用</w:t>
            </w:r>
          </w:p>
        </w:tc>
        <w:tc>
          <w:tcPr>
            <w:tcW w:w="948" w:type="dxa"/>
            <w:noWrap/>
            <w:vAlign w:val="center"/>
          </w:tcPr>
          <w:p>
            <w:pPr>
              <w:spacing w:line="360" w:lineRule="exact"/>
              <w:ind w:right="80" w:rightChars="38"/>
              <w:rPr>
                <w:rFonts w:ascii="仿宋" w:hAnsi="仿宋" w:eastAsia="仿宋" w:cs="仿宋"/>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付款方式</w:t>
            </w:r>
          </w:p>
        </w:tc>
        <w:tc>
          <w:tcPr>
            <w:tcW w:w="6994" w:type="dxa"/>
            <w:gridSpan w:val="7"/>
            <w:noWrap/>
            <w:vAlign w:val="center"/>
          </w:tcPr>
          <w:p>
            <w:pPr>
              <w:spacing w:line="360" w:lineRule="exact"/>
              <w:ind w:right="80" w:rightChars="38" w:firstLine="240" w:firstLineChars="100"/>
              <w:rPr>
                <w:rFonts w:ascii="仿宋" w:hAnsi="仿宋" w:eastAsia="仿宋" w:cs="仿宋"/>
                <w:bCs/>
                <w:sz w:val="24"/>
              </w:rPr>
            </w:pPr>
            <w:r>
              <w:rPr>
                <w:rFonts w:hint="eastAsia" w:ascii="仿宋" w:hAnsi="仿宋" w:eastAsia="仿宋" w:cs="仿宋"/>
                <w:bCs/>
                <w:sz w:val="24"/>
              </w:rPr>
              <w:t>□通过银行        □刷卡      □现金   □微信/支付宝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ind w:right="80" w:rightChars="38"/>
              <w:rPr>
                <w:rFonts w:ascii="仿宋" w:hAnsi="仿宋" w:eastAsia="仿宋" w:cs="仿宋"/>
                <w:b/>
                <w:bCs/>
                <w:sz w:val="24"/>
                <w:lang w:val="zh-CN" w:bidi="zh-CN"/>
              </w:rPr>
            </w:pPr>
            <w:r>
              <w:rPr>
                <w:rFonts w:hint="eastAsia" w:ascii="仿宋" w:hAnsi="仿宋" w:eastAsia="仿宋" w:cs="仿宋"/>
                <w:b/>
                <w:bCs/>
                <w:sz w:val="24"/>
              </w:rPr>
              <w:t>发票类别</w:t>
            </w:r>
          </w:p>
        </w:tc>
        <w:tc>
          <w:tcPr>
            <w:tcW w:w="6994" w:type="dxa"/>
            <w:gridSpan w:val="7"/>
            <w:noWrap/>
          </w:tcPr>
          <w:p>
            <w:pPr>
              <w:ind w:right="80" w:rightChars="38"/>
              <w:rPr>
                <w:rFonts w:ascii="仿宋" w:hAnsi="仿宋" w:eastAsia="仿宋" w:cs="仿宋"/>
                <w:b/>
                <w:bCs/>
                <w:sz w:val="24"/>
              </w:rPr>
            </w:pPr>
            <w:r>
              <w:rPr>
                <w:rFonts w:hint="eastAsia" w:ascii="仿宋" w:hAnsi="仿宋" w:eastAsia="仿宋" w:cs="仿宋"/>
                <w:b/>
                <w:bCs/>
                <w:sz w:val="24"/>
              </w:rPr>
              <w:t>增值税（</w:t>
            </w:r>
            <w:r>
              <w:rPr>
                <w:rFonts w:hint="eastAsia" w:ascii="仿宋" w:hAnsi="仿宋" w:eastAsia="仿宋" w:cs="仿宋"/>
                <w:bCs/>
                <w:sz w:val="24"/>
              </w:rPr>
              <w:t>□</w:t>
            </w:r>
            <w:r>
              <w:rPr>
                <w:rFonts w:hint="eastAsia" w:ascii="仿宋" w:hAnsi="仿宋" w:eastAsia="仿宋" w:cs="仿宋"/>
                <w:b/>
                <w:bCs/>
                <w:sz w:val="24"/>
              </w:rPr>
              <w:t>普通□专用）发票,开票信息如下：</w:t>
            </w:r>
          </w:p>
          <w:p>
            <w:pPr>
              <w:ind w:right="80" w:rightChars="38"/>
              <w:rPr>
                <w:rFonts w:ascii="仿宋" w:hAnsi="仿宋" w:eastAsia="仿宋" w:cs="仿宋"/>
                <w:b/>
                <w:bCs/>
                <w:sz w:val="24"/>
              </w:rPr>
            </w:pPr>
            <w:r>
              <w:rPr>
                <w:rFonts w:hint="eastAsia" w:ascii="仿宋" w:hAnsi="仿宋" w:eastAsia="仿宋" w:cs="仿宋"/>
                <w:b/>
                <w:bCs/>
                <w:sz w:val="24"/>
              </w:rPr>
              <w:t>单 位 名 称：</w:t>
            </w:r>
          </w:p>
          <w:p>
            <w:pPr>
              <w:ind w:right="80" w:rightChars="38"/>
              <w:rPr>
                <w:rFonts w:ascii="仿宋" w:hAnsi="仿宋" w:eastAsia="仿宋" w:cs="仿宋"/>
                <w:b/>
                <w:bCs/>
                <w:sz w:val="24"/>
              </w:rPr>
            </w:pPr>
            <w:r>
              <w:rPr>
                <w:rFonts w:hint="eastAsia" w:ascii="仿宋" w:hAnsi="仿宋" w:eastAsia="仿宋" w:cs="仿宋"/>
                <w:b/>
                <w:bCs/>
                <w:sz w:val="24"/>
              </w:rPr>
              <w:t>税       号：</w:t>
            </w:r>
          </w:p>
          <w:p>
            <w:pPr>
              <w:ind w:right="80" w:rightChars="38"/>
              <w:rPr>
                <w:rFonts w:ascii="仿宋" w:hAnsi="仿宋" w:eastAsia="仿宋" w:cs="仿宋"/>
                <w:b/>
                <w:bCs/>
                <w:sz w:val="24"/>
              </w:rPr>
            </w:pPr>
            <w:r>
              <w:rPr>
                <w:rFonts w:hint="eastAsia" w:ascii="仿宋" w:hAnsi="仿宋" w:eastAsia="仿宋" w:cs="仿宋"/>
                <w:b/>
                <w:bCs/>
                <w:sz w:val="24"/>
              </w:rPr>
              <w:t>地址、 电话：</w:t>
            </w:r>
          </w:p>
          <w:p>
            <w:pPr>
              <w:ind w:right="80" w:rightChars="38"/>
              <w:rPr>
                <w:rFonts w:ascii="仿宋" w:hAnsi="仿宋" w:eastAsia="仿宋" w:cs="仿宋"/>
                <w:bCs/>
                <w:sz w:val="24"/>
              </w:rPr>
            </w:pPr>
            <w:r>
              <w:rPr>
                <w:rFonts w:hint="eastAsia" w:ascii="仿宋" w:hAnsi="仿宋" w:eastAsia="仿宋" w:cs="仿宋"/>
                <w:b/>
                <w:bCs/>
                <w:sz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932" w:type="dxa"/>
            <w:noWrap/>
            <w:vAlign w:val="center"/>
          </w:tcPr>
          <w:p>
            <w:pPr>
              <w:spacing w:line="360" w:lineRule="exact"/>
              <w:ind w:right="80" w:rightChars="38"/>
              <w:rPr>
                <w:rFonts w:ascii="仿宋" w:hAnsi="仿宋" w:eastAsia="仿宋" w:cs="仿宋"/>
                <w:bCs/>
                <w:sz w:val="24"/>
                <w:lang w:val="zh-CN" w:bidi="zh-CN"/>
              </w:rPr>
            </w:pPr>
            <w:r>
              <w:rPr>
                <w:rFonts w:hint="eastAsia" w:ascii="仿宋" w:hAnsi="仿宋" w:eastAsia="仿宋" w:cs="仿宋"/>
                <w:bCs/>
                <w:sz w:val="24"/>
              </w:rPr>
              <w:t>指定收款账户</w:t>
            </w:r>
          </w:p>
        </w:tc>
        <w:tc>
          <w:tcPr>
            <w:tcW w:w="6994" w:type="dxa"/>
            <w:gridSpan w:val="7"/>
            <w:noWrap/>
            <w:vAlign w:val="center"/>
          </w:tcPr>
          <w:p>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户  名：北京建术信息科技研究院有限公司</w:t>
            </w:r>
            <w:bookmarkStart w:id="0" w:name="_GoBack"/>
            <w:bookmarkEnd w:id="0"/>
          </w:p>
          <w:p>
            <w:pPr>
              <w:spacing w:line="340" w:lineRule="exact"/>
              <w:ind w:right="80" w:rightChars="38"/>
              <w:rPr>
                <w:rFonts w:ascii="仿宋" w:hAnsi="仿宋" w:eastAsia="仿宋" w:cs="仿宋"/>
                <w:bCs/>
                <w:sz w:val="24"/>
                <w:lang w:val="ru-RU"/>
              </w:rPr>
            </w:pPr>
            <w:r>
              <w:rPr>
                <w:rFonts w:hint="eastAsia" w:ascii="仿宋" w:hAnsi="仿宋" w:eastAsia="仿宋" w:cs="仿宋"/>
                <w:bCs/>
                <w:sz w:val="24"/>
                <w:lang w:val="ru-RU"/>
              </w:rPr>
              <w:t>开户行：中国建设银行股份有限公司北京昌平小汤山支行</w:t>
            </w:r>
          </w:p>
          <w:p>
            <w:pPr>
              <w:spacing w:line="340" w:lineRule="exact"/>
              <w:ind w:right="80" w:rightChars="38"/>
              <w:rPr>
                <w:rFonts w:ascii="仿宋" w:hAnsi="仿宋" w:eastAsia="仿宋" w:cs="仿宋"/>
                <w:bCs/>
                <w:sz w:val="24"/>
              </w:rPr>
            </w:pPr>
            <w:r>
              <w:rPr>
                <w:rFonts w:hint="eastAsia" w:ascii="仿宋" w:hAnsi="仿宋" w:eastAsia="仿宋" w:cs="仿宋"/>
                <w:bCs/>
                <w:sz w:val="24"/>
                <w:lang w:val="ru-RU"/>
              </w:rPr>
              <w:t>账  号：1105 0110 2401 0900 0164</w:t>
            </w:r>
          </w:p>
          <w:p>
            <w:pPr>
              <w:spacing w:line="360" w:lineRule="exact"/>
              <w:ind w:right="80" w:rightChars="38"/>
              <w:rPr>
                <w:rFonts w:ascii="仿宋" w:hAnsi="仿宋" w:eastAsia="仿宋" w:cs="仿宋"/>
                <w:bCs/>
                <w:sz w:val="24"/>
                <w:lang w:bidi="zh-CN"/>
              </w:rPr>
            </w:pPr>
            <w:r>
              <w:rPr>
                <w:rFonts w:hint="eastAsia" w:ascii="仿宋" w:hAnsi="仿宋" w:eastAsia="仿宋" w:cs="仿宋"/>
                <w:sz w:val="24"/>
              </w:rPr>
              <w:t>汇款后，请将银行电汇凭证传真至：010-87205552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932" w:type="dxa"/>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参会方式</w:t>
            </w:r>
          </w:p>
        </w:tc>
        <w:tc>
          <w:tcPr>
            <w:tcW w:w="6994" w:type="dxa"/>
            <w:gridSpan w:val="7"/>
            <w:noWrap/>
            <w:vAlign w:val="center"/>
          </w:tcPr>
          <w:p>
            <w:pPr>
              <w:spacing w:line="360" w:lineRule="exact"/>
              <w:ind w:right="80" w:rightChars="38"/>
              <w:rPr>
                <w:rFonts w:ascii="仿宋" w:hAnsi="仿宋" w:eastAsia="仿宋" w:cs="仿宋"/>
                <w:bCs/>
                <w:sz w:val="24"/>
              </w:rPr>
            </w:pPr>
            <w:r>
              <w:rPr>
                <w:rFonts w:hint="eastAsia" w:ascii="仿宋" w:hAnsi="仿宋" w:eastAsia="仿宋" w:cs="仿宋"/>
                <w:bCs/>
                <w:sz w:val="24"/>
              </w:rPr>
              <w:t>请参会单位把参会回执回传至会务组，会务组确认后即发《参会凭证》，其中将详细注明报到时间、报到地点、食宿等具体安排事项。</w:t>
            </w:r>
          </w:p>
        </w:tc>
      </w:tr>
    </w:tbl>
    <w:p>
      <w:pPr>
        <w:spacing w:line="480" w:lineRule="exact"/>
        <w:ind w:right="80" w:rightChars="38"/>
        <w:rPr>
          <w:rStyle w:val="8"/>
          <w:rFonts w:ascii="黑体" w:hAnsi="黑体" w:eastAsia="黑体" w:cs="宋体"/>
          <w:color w:val="000000"/>
          <w:lang w:val="zh-CN"/>
        </w:rPr>
      </w:pPr>
      <w:r>
        <w:rPr>
          <w:rStyle w:val="8"/>
          <w:rFonts w:hint="eastAsia" w:ascii="黑体" w:hAnsi="黑体" w:eastAsia="黑体" w:cs="宋体"/>
          <w:color w:val="000000"/>
          <w:lang w:val="zh-CN"/>
        </w:rPr>
        <w:t>注：为保证培训质量，培训班名额有限，额满为止，请确定人员后及早报名。</w:t>
      </w:r>
    </w:p>
    <w:p>
      <w:pPr>
        <w:pStyle w:val="2"/>
        <w:ind w:left="0" w:leftChars="0" w:firstLine="0" w:firstLineChars="0"/>
        <w:rPr>
          <w:rFonts w:hint="eastAsia" w:ascii="仿宋" w:hAnsi="仿宋" w:eastAsia="仿宋" w:cs="仿宋"/>
          <w:bCs/>
        </w:rPr>
      </w:pPr>
      <w:r>
        <w:rPr>
          <w:rFonts w:hint="eastAsia" w:ascii="仿宋" w:hAnsi="仿宋" w:eastAsia="仿宋" w:cs="仿宋"/>
          <w:bCs/>
        </w:rPr>
        <w:t xml:space="preserve">  报名负责人：聂红军 主任18211071700（微信）   </w:t>
      </w:r>
    </w:p>
    <w:p>
      <w:pPr>
        <w:pStyle w:val="2"/>
        <w:ind w:left="0" w:leftChars="0" w:firstLine="0" w:firstLineChars="0"/>
        <w:rPr>
          <w:rFonts w:hint="eastAsia" w:ascii="仿宋" w:hAnsi="仿宋" w:eastAsia="仿宋" w:cs="仿宋"/>
          <w:bCs/>
        </w:rPr>
      </w:pPr>
      <w:r>
        <w:rPr>
          <w:rFonts w:hint="eastAsia" w:ascii="仿宋" w:hAnsi="仿宋" w:eastAsia="仿宋" w:cs="仿宋"/>
          <w:bCs/>
        </w:rPr>
        <w:t xml:space="preserve">电    话：13141289128        邮    箱：zqgphwz@126.com  </w:t>
      </w:r>
    </w:p>
    <w:p>
      <w:pPr>
        <w:pStyle w:val="2"/>
        <w:ind w:left="0" w:leftChars="0" w:firstLine="0" w:firstLineChars="0"/>
        <w:rPr>
          <w:rFonts w:hint="eastAsia" w:ascii="仿宋" w:hAnsi="仿宋" w:eastAsia="仿宋" w:cs="仿宋"/>
          <w:bCs/>
        </w:rPr>
      </w:pPr>
      <w:r>
        <w:rPr>
          <w:rFonts w:hint="eastAsia" w:ascii="仿宋" w:hAnsi="仿宋" w:eastAsia="仿宋" w:cs="仿宋"/>
          <w:bCs/>
        </w:rPr>
        <w:t>qq咨询：3177524020          网    址：http://www.zqgpchina.cn</w:t>
      </w:r>
    </w:p>
    <w:sectPr>
      <w:pgSz w:w="11906" w:h="16838"/>
      <w:pgMar w:top="1270" w:right="1349" w:bottom="127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FEE52"/>
    <w:multiLevelType w:val="singleLevel"/>
    <w:tmpl w:val="C7EFEE52"/>
    <w:lvl w:ilvl="0" w:tentative="0">
      <w:start w:val="1"/>
      <w:numFmt w:val="decimal"/>
      <w:lvlText w:val="%1."/>
      <w:lvlJc w:val="left"/>
      <w:pPr>
        <w:ind w:left="425" w:hanging="425"/>
      </w:pPr>
      <w:rPr>
        <w:rFonts w:hint="default"/>
      </w:rPr>
    </w:lvl>
  </w:abstractNum>
  <w:abstractNum w:abstractNumId="1">
    <w:nsid w:val="1BDD38AE"/>
    <w:multiLevelType w:val="singleLevel"/>
    <w:tmpl w:val="1BDD38AE"/>
    <w:lvl w:ilvl="0" w:tentative="0">
      <w:start w:val="1"/>
      <w:numFmt w:val="decimal"/>
      <w:lvlText w:val="%1."/>
      <w:lvlJc w:val="left"/>
      <w:pPr>
        <w:ind w:left="425" w:hanging="425"/>
      </w:pPr>
      <w:rPr>
        <w:rFonts w:hint="default"/>
      </w:rPr>
    </w:lvl>
  </w:abstractNum>
  <w:abstractNum w:abstractNumId="2">
    <w:nsid w:val="21297946"/>
    <w:multiLevelType w:val="singleLevel"/>
    <w:tmpl w:val="21297946"/>
    <w:lvl w:ilvl="0" w:tentative="0">
      <w:start w:val="1"/>
      <w:numFmt w:val="chineseCounting"/>
      <w:suff w:val="nothing"/>
      <w:lvlText w:val="%1、"/>
      <w:lvlJc w:val="left"/>
      <w:rPr>
        <w:rFonts w:hint="eastAsia"/>
      </w:rPr>
    </w:lvl>
  </w:abstractNum>
  <w:abstractNum w:abstractNumId="3">
    <w:nsid w:val="47FFA0E1"/>
    <w:multiLevelType w:val="singleLevel"/>
    <w:tmpl w:val="47FFA0E1"/>
    <w:lvl w:ilvl="0" w:tentative="0">
      <w:start w:val="1"/>
      <w:numFmt w:val="decimal"/>
      <w:suff w:val="nothing"/>
      <w:lvlText w:val="%1．"/>
      <w:lvlJc w:val="left"/>
      <w:pPr>
        <w:ind w:left="0" w:firstLine="400"/>
      </w:pPr>
      <w:rPr>
        <w:rFonts w:hint="default"/>
      </w:rPr>
    </w:lvl>
  </w:abstractNum>
  <w:abstractNum w:abstractNumId="4">
    <w:nsid w:val="556946C3"/>
    <w:multiLevelType w:val="singleLevel"/>
    <w:tmpl w:val="556946C3"/>
    <w:lvl w:ilvl="0" w:tentative="0">
      <w:start w:val="1"/>
      <w:numFmt w:val="decimal"/>
      <w:lvlText w:val="%1."/>
      <w:lvlJc w:val="left"/>
      <w:pPr>
        <w:ind w:left="425" w:hanging="425"/>
      </w:pPr>
      <w:rPr>
        <w:rFonts w:hint="default"/>
      </w:rPr>
    </w:lvl>
  </w:abstractNum>
  <w:abstractNum w:abstractNumId="5">
    <w:nsid w:val="66272F4B"/>
    <w:multiLevelType w:val="multilevel"/>
    <w:tmpl w:val="66272F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CFF78C"/>
    <w:multiLevelType w:val="singleLevel"/>
    <w:tmpl w:val="7FCFF78C"/>
    <w:lvl w:ilvl="0" w:tentative="0">
      <w:start w:val="1"/>
      <w:numFmt w:val="decimal"/>
      <w:suff w:val="nothing"/>
      <w:lvlText w:val="%1．"/>
      <w:lvlJc w:val="left"/>
      <w:pPr>
        <w:ind w:left="0" w:firstLine="400"/>
      </w:pPr>
      <w:rPr>
        <w:rFonts w:hint="default"/>
      </w:rPr>
    </w:lvl>
  </w:abstractNum>
  <w:num w:numId="1">
    <w:abstractNumId w:val="2"/>
  </w:num>
  <w:num w:numId="2">
    <w:abstractNumId w:val="5"/>
  </w:num>
  <w:num w:numId="3">
    <w:abstractNumId w:val="0"/>
  </w:num>
  <w:num w:numId="4">
    <w:abstractNumId w:val="3"/>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52BA4540"/>
    <w:rsid w:val="00D01D9C"/>
    <w:rsid w:val="00EF7B2D"/>
    <w:rsid w:val="02807BD4"/>
    <w:rsid w:val="132105EB"/>
    <w:rsid w:val="1D1B6206"/>
    <w:rsid w:val="20677580"/>
    <w:rsid w:val="4549112E"/>
    <w:rsid w:val="4AD93CE9"/>
    <w:rsid w:val="52BA4540"/>
    <w:rsid w:val="62D1212E"/>
    <w:rsid w:val="718A3161"/>
    <w:rsid w:val="72361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ind w:firstLine="420" w:firstLineChars="200"/>
    </w:pPr>
    <w:rPr>
      <w:sz w:val="24"/>
    </w:rPr>
  </w:style>
  <w:style w:type="paragraph" w:styleId="3">
    <w:name w:val="Body Text Indent"/>
    <w:basedOn w:val="1"/>
    <w:next w:val="1"/>
    <w:autoRedefine/>
    <w:qFormat/>
    <w:uiPriority w:val="0"/>
    <w:pPr>
      <w:spacing w:after="120"/>
      <w:ind w:left="420" w:leftChars="200"/>
    </w:pPr>
    <w:rPr>
      <w:rFonts w:ascii="Times New Roman" w:hAnsi="Times New Roman" w:eastAsia="宋体" w:cs="Times New Roman"/>
    </w:rPr>
  </w:style>
  <w:style w:type="paragraph" w:styleId="4">
    <w:name w:val="Body Text"/>
    <w:basedOn w:val="1"/>
    <w:semiHidden/>
    <w:qFormat/>
    <w:uiPriority w:val="0"/>
    <w:rPr>
      <w:rFonts w:ascii="仿宋" w:hAnsi="仿宋" w:eastAsia="仿宋" w:cs="仿宋"/>
      <w:sz w:val="24"/>
      <w:lang w:eastAsia="en-US"/>
    </w:rPr>
  </w:style>
  <w:style w:type="paragraph" w:styleId="5">
    <w:name w:val="Normal (Web)"/>
    <w:basedOn w:val="1"/>
    <w:autoRedefine/>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autoRedefine/>
    <w:qFormat/>
    <w:uiPriority w:val="22"/>
    <w:rPr>
      <w:rFonts w:ascii="Times New Roman" w:hAnsi="Times New Roman" w:eastAsia="宋体" w:cs="Times New Roman"/>
      <w:b/>
      <w:bCs/>
    </w:rPr>
  </w:style>
  <w:style w:type="paragraph" w:styleId="9">
    <w:name w:val="List Paragraph"/>
    <w:basedOn w:val="1"/>
    <w:autoRedefine/>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3621</Words>
  <Characters>3766</Characters>
  <Lines>30</Lines>
  <Paragraphs>8</Paragraphs>
  <TotalTime>300</TotalTime>
  <ScaleCrop>false</ScaleCrop>
  <LinksUpToDate>false</LinksUpToDate>
  <CharactersWithSpaces>3940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2024-05-13T06:46:00Z</dcterms:created>
  <dc:creator>姣 儿</dc:creator>
  <cp:lastModifiedBy>聂红军</cp:lastModifiedBy>
  <dcterms:modified xsi:type="dcterms:W3CDTF">2024-06-03T00:16:12Z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CD5A1BDA73FC4519A39A7494B7BDD034_13</vt:lpwstr>
  </property>
</Properties>
</file>