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A10CF6">
      <w:pPr>
        <w:spacing w:line="240" w:lineRule="auto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-951865</wp:posOffset>
            </wp:positionV>
            <wp:extent cx="7566025" cy="10706100"/>
            <wp:effectExtent l="0" t="0" r="15875" b="0"/>
            <wp:wrapSquare wrapText="bothSides"/>
            <wp:docPr id="1" name="图片 1" descr="2004年项目谋划与投融资培训第三轮通知(2)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04年项目谋划与投融资培训第三轮通知(2)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4DB96">
      <w:pPr>
        <w:spacing w:line="240" w:lineRule="auto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-990600</wp:posOffset>
            </wp:positionV>
            <wp:extent cx="7546975" cy="10747375"/>
            <wp:effectExtent l="0" t="0" r="15875" b="15875"/>
            <wp:wrapSquare wrapText="bothSides"/>
            <wp:docPr id="2" name="图片 2" descr="2004年项目谋划与投融资培训第三轮通知(2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04年项目谋划与投融资培训第三轮通知(2)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EF1CB">
      <w:pPr>
        <w:spacing w:line="540" w:lineRule="exact"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附件1：</w:t>
      </w:r>
    </w:p>
    <w:p w14:paraId="42D520EC">
      <w:pPr>
        <w:numPr>
          <w:ilvl w:val="0"/>
          <w:numId w:val="1"/>
        </w:numPr>
        <w:spacing w:line="5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培训收益</w:t>
      </w:r>
    </w:p>
    <w:p w14:paraId="407C89AC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（一）</w:t>
      </w:r>
      <w:r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准确把握当前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最新基础设施投融资</w:t>
      </w:r>
      <w:r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政策导向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 w14:paraId="66E6A9B7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（二）PPP 新机制和特许经营操作实务及案例；</w:t>
      </w:r>
    </w:p>
    <w:p w14:paraId="77BE6745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（三）学习E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OD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模式最新政策和操作实施；</w:t>
      </w:r>
    </w:p>
    <w:p w14:paraId="7F22FE2D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（四）学习探讨片区综合开发中前期土地收储及后期支付来源；</w:t>
      </w:r>
    </w:p>
    <w:p w14:paraId="4048FE40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（五）学习城市更新等投融资模式的操作难点和实务案例；</w:t>
      </w:r>
    </w:p>
    <w:p w14:paraId="2A8C01B7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（六）学习地方政府专项债券操作实务和申报；</w:t>
      </w:r>
    </w:p>
    <w:p w14:paraId="4D5B54BD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（七）学习政府和城投公司盘活存量资产模式及案例；</w:t>
      </w:r>
    </w:p>
    <w:p w14:paraId="3610A0B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（八）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学习超长期特别国债有关政策、投资范围、项目申报有关实务。</w:t>
      </w:r>
    </w:p>
    <w:p w14:paraId="2624F4A7">
      <w:pPr>
        <w:spacing w:line="540" w:lineRule="exact"/>
        <w:ind w:left="560"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二、培训内容</w:t>
      </w:r>
    </w:p>
    <w:p w14:paraId="33A9367C"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（一）准确把握当前最新基础设施投融资政策导向</w:t>
      </w:r>
    </w:p>
    <w:p w14:paraId="474C44C6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1.35号文有关城投公司分类解析及融资导向；</w:t>
      </w:r>
    </w:p>
    <w:p w14:paraId="660841B0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.已经完成产业转型国企新借融资及案例；</w:t>
      </w:r>
    </w:p>
    <w:p w14:paraId="7E227D7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.47号文及14号文有关严控重点地区债务核心要义解析；</w:t>
      </w:r>
    </w:p>
    <w:p w14:paraId="01ECDA70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.严控新建(含改扩建和购置)政府投资项目领域分析；</w:t>
      </w:r>
    </w:p>
    <w:p w14:paraId="4C1991D8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.续建、缓建、停建政府投资项目条件解析及案例；</w:t>
      </w:r>
    </w:p>
    <w:p w14:paraId="15B941C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.重点区域基础设施项目的实施；</w:t>
      </w:r>
    </w:p>
    <w:p w14:paraId="23D36664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.《关于政府和社会资本合作（PPP）存量项目分类处理的意见》（国办函〔2023〕91号）解读；</w:t>
      </w:r>
    </w:p>
    <w:p w14:paraId="1D10AAD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.《关于规范实施政府和社会资本合作（PPP）新机制的指导意见》的通知(国办函〔2023〕115号)解读；</w:t>
      </w:r>
    </w:p>
    <w:p w14:paraId="0EF43F4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.《基础设施和公用事业特许经营管理办法》（2024 年第 17 号令）主要条款解析。</w:t>
      </w:r>
    </w:p>
    <w:p w14:paraId="3CDD0D67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（二）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超长期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特别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国债项目储备谋划与申报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6A8AC2F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1.超长期特别国债概念、申报范围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4E3942F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2.国家重大战略实施和重点领域安全能力建设的范围和领域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7A5E8D0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3.超长期特别国债投资五大领域的对标储备谋划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968F9F1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4.本次超长期特别国债与前几次国债有何不同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430171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5.超长期特别国债与中央预算内投资申请区别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EE42A85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6.超长期特别国债项目储备谋划要求与实务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3EF9165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7.超长期特别国债申报及审批流程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9DE8829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8.超长期特别国债审核要点解析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097FB0B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（三）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地方政府专项债券项目谋划实务及案例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4B019A7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1.2024年政府专项债券投资领域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2249A1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2.政府专项债券细分领域谋划包装注意问题及案例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4A0A32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3.城投公司项目参与专项债的主要路径及案例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39AD32F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4.专项债项目收入优化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方法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23A423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5.专项债券资金使用方式（直投、用作资本金、债务性资金）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E6E664E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6.银行贷款与政府专项债券投资项目实务及案例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 w14:paraId="5F7ABF28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7.国企项目取得地方政府专项债券方式及资金会计处理方式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77F9AF2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8.政府专项债券前期材料准备及申报流程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BB7E081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（四）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35 号文下融资平台公司债务化解及融资导向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5A9C089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1.35号文下借新还旧及新增融资条件及案例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81CA121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2.名单内融资平台公司的“紧箍咒”与福利”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31B23E7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3.非名单内参照融资平台管理的融资政策及案例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06EE40E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4.城投公司产业转型要求及335标准实现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043978F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5.如何理解“借新还旧”的“旧”及案例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2558E0F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6.对重点省份融资平台公司化债政策及案例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7ADE5B9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7.债券发行额度内“统借统还”创新实施及案例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484F990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8.以银团贷款等方式置换到期的非标债务及案例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BCBAC36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（五）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47 号文下政府投资项目分类管理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493E569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1.47 号文核心要义解析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9EB7849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2.如何理解地方债务风险降低至中低水平前严控新建政府投资项目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41708E1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3.如何理解高债务地区政府投资项目提级报送审核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8FA0CDE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4.高债务地区控制新建政府投资项目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的领域；</w:t>
      </w:r>
    </w:p>
    <w:p w14:paraId="04A0554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5.清理规范在建政府投资项目范围和标准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A9F1B07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6.高债务地区哪些政府投资项目可以实施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哪些受到限制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 w14:paraId="2AD6F950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7.公益性项目如何以企业投资项目实施解析及案例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60E2AF0C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（六）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14 号文下统筹做好地方债务风险防范化解工作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786EAD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1.12个重点省份的相关化债政策梳理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0673462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2.其他省份辖区债务负担重、化解难度大的地区债务解析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1712720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3.选报地级市参考重点省份化解政策的条件要求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E2677C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4.选报地级市政府投资项目如何开展实施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037962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5.选报地级市融资平台借新还旧及新增融资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85C552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6.选报地级市“三大工程”项目实施方式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95B5E17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（七）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PPP 新机制和特许经营操作实务及案例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B6FA6AF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1.115 号文下 PPP主要条款解析及实务操作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8A7E6F8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2.如何理解聚焦使用者付费项目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481E169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3.如何理解全部采取特许经营模式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E5436AF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4.如何理解优先选择民营企业参与PPP项目及案例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DBE7E66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5.怎样理解新机制PPP项目回报机制及补贴机制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D26D77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6.新机制PPP项目实施把握的要点及案例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0A44301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7.存量PPP项目的分类处理及案例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E4765C8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8.通过“打捆”形式实施特许经营应注意问题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857AC68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9.特许经营方案的编写的要点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BB16A77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国有企业参与特许经营项目方式及案例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4D8FFB6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（八）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由八起违规隐性债务案例分析合规操作及案例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4EA83C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1.如何避免地方国有企业代政府向银行融资分析及案例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1C5681C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2.政府部门从属地国企借款是否属于违规分析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00F5AF4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3.如何避免借新还旧造成化债不实的案例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2163D3B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4.如何避免用预期土地出让收入偿还融资及案例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E3C905E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 施工类央企参与地方基建规避政府隐性债务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4D81288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（九）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新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《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导则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》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下EOD模式新变化操作实务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02BC52E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1.EOD新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《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导则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主要内容解析及实务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E88D93A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EOD实施范围发生变化、EOD项目中的关联产业变化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DF3A1F7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EOD模式的主体变化及实施主体确定方式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2B06E6A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片区综合开发和矿山修复开发暂不纳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入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EOD模式分析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C9507D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EOD项目涉及相关政府收益不得纳入项目收入分析及案例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47FD35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6．砂石等矿产资源交易收益不得纳入EOD项目收益分析及案例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1F8A05C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新规EOD模式与新机制PPP能否融合探讨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2335185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EOD模式与金融支持及融资途径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E62DAA2"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（十）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政府基础设施建设难点问题实操及案例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70997D3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1.经营性项目与公益性项目综合打捆实施及案例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FD61EA4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2.城中村改造资金来源与融资路径及案例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4DBF9DE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3.土地开发一二级联动合规应用领域及案例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E68E556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.“投资人+EPC”在片区开发中的合规应用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788CF16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.施工类央企参与片区综合开发合规问题及案例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B74C969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.新机制下特许经营模式在片区开发中应用及案例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BE25A8D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.政府直接授权属地国企模式应用范畴、注意问题及案例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1ABD4C6"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.“一二三级联动开发”模式在片区开发用于及实操难点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23CE8143"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三、培训对象</w:t>
      </w:r>
    </w:p>
    <w:p w14:paraId="64C738D5"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各级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政府发展改革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、财政、环保、住建、交通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运输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、水利、农业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农村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、林草、文旅等部门工作人员；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城投公司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为代表的各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类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融资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平台公司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相关人员；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污水垃圾处理、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城乡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供水供气供热、仓储物流、新能源、环保及建筑施工等企业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有关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人员；银行、证券、基金、信托、保险等金融机构专业人员。</w:t>
      </w:r>
    </w:p>
    <w:p w14:paraId="546548AB"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拟邀师资</w:t>
      </w:r>
    </w:p>
    <w:p w14:paraId="6ABC578A"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张朝元：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中国经济体制改革研究会副秘书长、培训中心主任，北京大学、清华大学投融资系列总裁研修班客座教授。</w:t>
      </w:r>
    </w:p>
    <w:p w14:paraId="288637AE"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林晓东：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中国经济体制改革研究会理事、特聘授课专家，中国投资协会项目投融资专委会特聘专家、大成律师事务所合伙人。</w:t>
      </w:r>
    </w:p>
    <w:p w14:paraId="0345ACD4">
      <w:pPr>
        <w:widowControl/>
        <w:spacing w:line="540" w:lineRule="exact"/>
        <w:ind w:firstLine="562" w:firstLineChars="200"/>
        <w:jc w:val="both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王小文：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住建部海绵城市试点考核专家，中国投资咨询有限责任公司战略与管理咨询事业部副总经理（主持工作）、研究中心主任。</w:t>
      </w:r>
    </w:p>
    <w:p w14:paraId="70F599D6">
      <w:pPr>
        <w:pStyle w:val="6"/>
        <w:spacing w:line="540" w:lineRule="exact"/>
        <w:ind w:left="0" w:firstLine="562"/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Ansi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温来成：</w:t>
      </w:r>
      <w:r>
        <w:fldChar w:fldCharType="begin"/>
      </w:r>
      <w:r>
        <w:instrText xml:space="preserve"> HYPERLINK "https://baike.so.com/doc/3296910-3472858.html"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中国人民大学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经济学博士，</w:t>
      </w:r>
      <w:r>
        <w:fldChar w:fldCharType="begin"/>
      </w:r>
      <w:r>
        <w:instrText xml:space="preserve"> HYPERLINK "https://baike.so.com/doc/871579-921482.html"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中央财经大学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教授，博士生导师，</w:t>
      </w:r>
      <w:r>
        <w:fldChar w:fldCharType="begin"/>
      </w:r>
      <w:r>
        <w:instrText xml:space="preserve"> HYPERLINK "https://baike.so.com/doc/5383824-5620225.html"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国家社会科学基金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评审专家，</w:t>
      </w:r>
      <w:r>
        <w:fldChar w:fldCharType="begin"/>
      </w:r>
      <w:r>
        <w:instrText xml:space="preserve"> HYPERLINK "https://baike.so.com/doc/5568745-5783922.html"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国家自然科学基金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</w:t>
      </w:r>
      <w:r>
        <w:rPr>
          <w:rFonts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2FDFC165"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  鹏：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财政部政策实验室宏观经济部主任、经济学博士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中共中央党校干部学习网特约专家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37C7F509"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朱  静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：中央财经大学PPP智库专家，中国政信（政务）研究中心专家，中能国和产业投资发展集团合伙人首席专家。</w:t>
      </w:r>
    </w:p>
    <w:p w14:paraId="6CF73AB9"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吴亚平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国家发展改革委投资研究所体制政策室原主任、投资研究所研究员，兼任中国社科院大学投资经济系教授、博导，中国社情民调百名经济学家，注册咨询工程师(投资),国家开发银行、中国国际工程咨询公司专家委员会专家。长期从事经济和投资形势分析、投融资政策和政府投融资管理研究，参与投融资政策法规研究起草。</w:t>
      </w:r>
    </w:p>
    <w:p w14:paraId="1AA14F27"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五、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培训时间与地点</w:t>
      </w:r>
    </w:p>
    <w:p w14:paraId="383E09FA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2024年7月12日—7月15日   贵阳市 （12日全天报到）</w:t>
      </w:r>
    </w:p>
    <w:p w14:paraId="6A4A91FD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2024年7月26日—7月29日   西安市 （26日全天报到）</w:t>
      </w:r>
    </w:p>
    <w:p w14:paraId="6E02FA1A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重庆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 w14:paraId="59BCCB85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月2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昆明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 w14:paraId="2A6E1909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 w14:paraId="6C1A2D99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 w14:paraId="056ABCAF"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>2024年10月18日—10月21日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 南京市 （18日全天报到）</w:t>
      </w:r>
    </w:p>
    <w:p w14:paraId="2B324668"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 xml:space="preserve">2024年10月24日—10月27日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厦门市 （24日全天报到）</w:t>
      </w:r>
    </w:p>
    <w:p w14:paraId="1CA35314"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六、收费标准</w:t>
      </w:r>
    </w:p>
    <w:p w14:paraId="7419E0B3"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A.3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0元/人（含培训、资料、电子课件、场地及培训期间午餐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、结业证书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），住宿统一安排，费用自理。</w:t>
      </w:r>
    </w:p>
    <w:p w14:paraId="6D2FF970"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B.5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0元/人（含培训、资料、电子课件、场地、证书及培训期间午餐），住宿统一安排，费用自理。培训结束后，经考核合格，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由中国投资协会颁发《投融资规划师》证书，需提供申报表、二寸白底免冠彩色照片、身份证复印件、学历证书复印件等电子版材料。</w:t>
      </w:r>
    </w:p>
    <w:p w14:paraId="4052A2E8">
      <w:pPr>
        <w:snapToGrid w:val="0"/>
        <w:spacing w:line="6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C.13880元/人(含培训、中国投资协会的会员证书铜牌【副会长单位价格另议】、资料、电子课件、场地及培训期间午餐、结业证书)</w:t>
      </w:r>
    </w:p>
    <w:p w14:paraId="09EF699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以上内容线上培训费用：25000元一个学习账号，单位投屏播放，统一观看，支持在线问答。本课程也可以采取定制内容学习、请专家到政府、企业内部培训，40000元/天（含课酬、专家与助教交通费、资料费等），场地由培训单位提供。</w:t>
      </w:r>
    </w:p>
    <w:p w14:paraId="63F10FC5">
      <w:pPr>
        <w:pStyle w:val="5"/>
        <w:shd w:val="clear" w:color="auto" w:fill="FFFFFF"/>
        <w:spacing w:before="0" w:beforeAutospacing="0" w:after="0" w:afterAutospacing="0" w:line="420" w:lineRule="exac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33D7BE4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附件2：</w:t>
      </w:r>
    </w:p>
    <w:p w14:paraId="728EB0A3">
      <w:pPr>
        <w:spacing w:line="480" w:lineRule="exact"/>
        <w:ind w:right="-147" w:rightChars="-70"/>
        <w:jc w:val="center"/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“2024年我国基础设施建设、城中村改造、</w:t>
      </w:r>
    </w:p>
    <w:p w14:paraId="4CC68543">
      <w:pPr>
        <w:spacing w:line="480" w:lineRule="exact"/>
        <w:ind w:right="-147" w:rightChars="-70"/>
        <w:jc w:val="center"/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片区综合开发等项目发展方向和最新投融资模式专题</w:t>
      </w:r>
    </w:p>
    <w:p w14:paraId="38C9F02F">
      <w:pPr>
        <w:spacing w:line="480" w:lineRule="exact"/>
        <w:ind w:right="-147" w:rightChars="-70"/>
        <w:jc w:val="center"/>
        <w:rPr>
          <w:rFonts w:cs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学习班”报名回执表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60790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CCBB8C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4B00436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CF7192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4F323C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7B8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25B05E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686ED78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656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199D0F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14A7D29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549005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5BC1A03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E91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836315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23FA442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22FF6F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26CE59D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DF9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FBC270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63A8818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574944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2A575AB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CE9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0FF12A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3AA4159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617A646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536F2BB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7A9FE1A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3C75B3B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2C63A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C89A59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A92708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2B202C2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5AEA58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6394F1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4F90C94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968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8F68D0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295C34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54B3E89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BC42C4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4829F2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1BEDB4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92A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52A758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18A023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07C478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C9AE56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6ED92FB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D6CFDA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CF4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3ABFAA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4F20AC3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317182E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70D8FC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FD0E65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7BE455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CF0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983359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E821FF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A8925A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09732D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40890C7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D87A2B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1AF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EBDA93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F5D19C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5B4C5C5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AE2175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C74D22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4515A53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1F2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4CA412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E1E98C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A0EB86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2A2030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726EF2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6000AA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D1B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7849DF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11E07CF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E8D833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5520D7F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4F1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84B00D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住宿标准</w:t>
            </w:r>
          </w:p>
        </w:tc>
        <w:tc>
          <w:tcPr>
            <w:tcW w:w="8159" w:type="dxa"/>
            <w:gridSpan w:val="5"/>
            <w:vAlign w:val="center"/>
          </w:tcPr>
          <w:p w14:paraId="0EB99DA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2986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179F5F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5766D71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48B7B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12633A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63C03A9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2C6E686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256651E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853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1678" w:type="dxa"/>
            <w:vAlign w:val="center"/>
          </w:tcPr>
          <w:p w14:paraId="10B3F26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28EFFD6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3A9EA07B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北京中建科信管理咨询集团有限公司</w:t>
            </w:r>
          </w:p>
          <w:p w14:paraId="6FE84658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中国工商银行股份有限公司北京半壁店支行</w:t>
            </w:r>
          </w:p>
          <w:p w14:paraId="0DC1F9C1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0200247009200068235</w:t>
            </w:r>
          </w:p>
        </w:tc>
      </w:tr>
      <w:tr w14:paraId="195B8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vAlign w:val="center"/>
          </w:tcPr>
          <w:p w14:paraId="7A7AED3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45B1C187"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课程可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根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据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单位实际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需</w:t>
            </w:r>
          </w:p>
          <w:p w14:paraId="5FB9C1EF"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8E84FF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求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，提供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内部培训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060" w:type="dxa"/>
            <w:gridSpan w:val="2"/>
            <w:vAlign w:val="center"/>
          </w:tcPr>
          <w:p w14:paraId="3D9EC51E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2652E11B"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9313527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5BFBDDEC">
      <w:pPr>
        <w:spacing w:line="440" w:lineRule="exact"/>
        <w:ind w:right="-147" w:rightChars="-70"/>
        <w:rPr>
          <w:rStyle w:val="9"/>
          <w:rFonts w:ascii="仿宋" w:hAnsi="仿宋" w:eastAsia="仿宋" w:cs="仿宋"/>
          <w:b w:val="0"/>
          <w:bCs w:val="0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</w:p>
    <w:p w14:paraId="616202BD"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5725560A"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36E924F6"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qq咨询：3177524020         </w:t>
      </w:r>
      <w:bookmarkStart w:id="0" w:name="_GoBack"/>
      <w:bookmarkEnd w:id="0"/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网    址：http://www.zqgpchina.cn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5FBD3F"/>
    <w:multiLevelType w:val="singleLevel"/>
    <w:tmpl w:val="6E5FBD3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815E2"/>
    <w:rsid w:val="001E6722"/>
    <w:rsid w:val="002202BE"/>
    <w:rsid w:val="00231F16"/>
    <w:rsid w:val="0025634D"/>
    <w:rsid w:val="00266CDF"/>
    <w:rsid w:val="00272A46"/>
    <w:rsid w:val="002749C9"/>
    <w:rsid w:val="0027718C"/>
    <w:rsid w:val="00292E6A"/>
    <w:rsid w:val="002D0407"/>
    <w:rsid w:val="002D3499"/>
    <w:rsid w:val="003144E6"/>
    <w:rsid w:val="00327A7D"/>
    <w:rsid w:val="00342E6E"/>
    <w:rsid w:val="0038106F"/>
    <w:rsid w:val="00406D20"/>
    <w:rsid w:val="00412275"/>
    <w:rsid w:val="0044681F"/>
    <w:rsid w:val="00455750"/>
    <w:rsid w:val="00464B66"/>
    <w:rsid w:val="00480F5F"/>
    <w:rsid w:val="004A6EFA"/>
    <w:rsid w:val="004C036A"/>
    <w:rsid w:val="004F014E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404E0"/>
    <w:rsid w:val="008753AE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F08E3"/>
    <w:rsid w:val="00E53EF0"/>
    <w:rsid w:val="00E86FBD"/>
    <w:rsid w:val="00E922E5"/>
    <w:rsid w:val="00EC12C0"/>
    <w:rsid w:val="00EE50FD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6252E77"/>
    <w:rsid w:val="06D7510F"/>
    <w:rsid w:val="07034156"/>
    <w:rsid w:val="07302A71"/>
    <w:rsid w:val="07943000"/>
    <w:rsid w:val="09D73678"/>
    <w:rsid w:val="0A1D552E"/>
    <w:rsid w:val="0A3E36F7"/>
    <w:rsid w:val="0A5C4A10"/>
    <w:rsid w:val="0A967156"/>
    <w:rsid w:val="0AD007F3"/>
    <w:rsid w:val="0B106E41"/>
    <w:rsid w:val="0BC1638D"/>
    <w:rsid w:val="0BCB0FBA"/>
    <w:rsid w:val="0BFC73C5"/>
    <w:rsid w:val="0C1C1816"/>
    <w:rsid w:val="0CA5180B"/>
    <w:rsid w:val="0D441024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BA0445E"/>
    <w:rsid w:val="1D1C1676"/>
    <w:rsid w:val="1F0C571A"/>
    <w:rsid w:val="201E5705"/>
    <w:rsid w:val="20996A84"/>
    <w:rsid w:val="20E406FC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D134D1"/>
    <w:rsid w:val="27322CEB"/>
    <w:rsid w:val="286345FC"/>
    <w:rsid w:val="28F8538E"/>
    <w:rsid w:val="290C6A42"/>
    <w:rsid w:val="29114058"/>
    <w:rsid w:val="294F2DD3"/>
    <w:rsid w:val="29EE2863"/>
    <w:rsid w:val="2A3F4BF5"/>
    <w:rsid w:val="2B7C67AE"/>
    <w:rsid w:val="2BA2543C"/>
    <w:rsid w:val="2BF85682"/>
    <w:rsid w:val="2CFC6DCE"/>
    <w:rsid w:val="2E020414"/>
    <w:rsid w:val="30450A8C"/>
    <w:rsid w:val="3087555D"/>
    <w:rsid w:val="309C68FD"/>
    <w:rsid w:val="317E4255"/>
    <w:rsid w:val="32851613"/>
    <w:rsid w:val="32902492"/>
    <w:rsid w:val="32A777DC"/>
    <w:rsid w:val="3333106F"/>
    <w:rsid w:val="34D50630"/>
    <w:rsid w:val="35544EB1"/>
    <w:rsid w:val="35EF5721"/>
    <w:rsid w:val="37465815"/>
    <w:rsid w:val="377F2AD5"/>
    <w:rsid w:val="37A97B52"/>
    <w:rsid w:val="37E312B6"/>
    <w:rsid w:val="38997BC6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5B5467"/>
    <w:rsid w:val="4D5519C8"/>
    <w:rsid w:val="4D933821"/>
    <w:rsid w:val="4F052825"/>
    <w:rsid w:val="4F95546D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F17C656"/>
    <w:rsid w:val="5F742670"/>
    <w:rsid w:val="5FBA6029"/>
    <w:rsid w:val="60883C70"/>
    <w:rsid w:val="61131A15"/>
    <w:rsid w:val="61DF3FED"/>
    <w:rsid w:val="629B6165"/>
    <w:rsid w:val="62F53AC8"/>
    <w:rsid w:val="63C72C14"/>
    <w:rsid w:val="6603474E"/>
    <w:rsid w:val="66682803"/>
    <w:rsid w:val="697274F4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FC2F67"/>
    <w:rsid w:val="769A6A08"/>
    <w:rsid w:val="77161E07"/>
    <w:rsid w:val="77E837A3"/>
    <w:rsid w:val="78771BB8"/>
    <w:rsid w:val="788B5230"/>
    <w:rsid w:val="78C37D6C"/>
    <w:rsid w:val="79E22D53"/>
    <w:rsid w:val="79EFE92F"/>
    <w:rsid w:val="7A794B87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EE21D"/>
    <w:rsid w:val="7F840255"/>
    <w:rsid w:val="7FFD6EDF"/>
    <w:rsid w:val="B3DFA468"/>
    <w:rsid w:val="BFFF538A"/>
    <w:rsid w:val="CCF6F1B0"/>
    <w:rsid w:val="DFBB5A45"/>
    <w:rsid w:val="E69ECEE0"/>
    <w:rsid w:val="EE9BE41F"/>
    <w:rsid w:val="EEEB136F"/>
    <w:rsid w:val="F7EFB907"/>
    <w:rsid w:val="FDFF39C8"/>
    <w:rsid w:val="FEF75950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字符"/>
    <w:basedOn w:val="8"/>
    <w:link w:val="2"/>
    <w:semiHidden/>
    <w:qFormat/>
    <w:uiPriority w:val="99"/>
  </w:style>
  <w:style w:type="character" w:customStyle="1" w:styleId="13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字符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3419</Words>
  <Characters>3745</Characters>
  <Lines>40</Lines>
  <Paragraphs>11</Paragraphs>
  <TotalTime>13</TotalTime>
  <ScaleCrop>false</ScaleCrop>
  <LinksUpToDate>false</LinksUpToDate>
  <CharactersWithSpaces>3947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2024-01-10T10:35:00Z</dcterms:created>
  <dc:creator>Lenovo</dc:creator>
  <cp:lastModifiedBy>聂红军</cp:lastModifiedBy>
  <cp:lastPrinted>2023-05-07T10:47:00Z</cp:lastPrinted>
  <dcterms:modified xsi:type="dcterms:W3CDTF">2024-06-27T00:30:33Z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A211B001005344AC9D638DFC4B5203B5_13</vt:lpwstr>
  </property>
</Properties>
</file>