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0A3F9B">
      <w:pPr>
        <w:jc w:val="distribute"/>
        <w:rPr>
          <w:rFonts w:ascii="宋体" w:hAnsi="宋体" w:eastAsia="宋体"/>
          <w:b/>
          <w:bCs/>
          <w:color w:val="FF0000"/>
          <w:sz w:val="84"/>
          <w:szCs w:val="84"/>
          <w:lang w:val="zh-TW" w:eastAsia="zh-TW" w:bidi="zh-TW"/>
        </w:rPr>
      </w:pPr>
      <w:bookmarkStart w:id="0" w:name="bookmark0"/>
      <w:bookmarkStart w:id="1" w:name="bookmark2"/>
      <w:bookmarkStart w:id="2" w:name="bookmark1"/>
    </w:p>
    <w:p w14:paraId="1DFCFB9A">
      <w:pPr>
        <w:jc w:val="distribute"/>
        <w:rPr>
          <w:rFonts w:ascii="宋体" w:hAnsi="宋体" w:eastAsia="宋体"/>
          <w:b/>
          <w:bCs/>
          <w:color w:val="FF0000"/>
          <w:sz w:val="84"/>
          <w:szCs w:val="84"/>
          <w:lang w:val="zh-TW" w:eastAsia="zh-TW" w:bidi="zh-TW"/>
        </w:rPr>
      </w:pPr>
      <w:r>
        <w:rPr>
          <w:rFonts w:ascii="宋体" w:hAnsi="宋体" w:eastAsia="宋体"/>
          <w:b/>
          <w:bCs/>
          <w:color w:val="FF0000"/>
          <w:sz w:val="84"/>
          <w:szCs w:val="84"/>
          <w:lang w:val="zh-TW" w:eastAsia="zh-TW" w:bidi="zh-TW"/>
        </w:rPr>
        <w:t>中国投资协会培训中心</w:t>
      </w:r>
      <w:bookmarkEnd w:id="0"/>
      <w:bookmarkEnd w:id="1"/>
      <w:bookmarkEnd w:id="2"/>
    </w:p>
    <w:p w14:paraId="6E243B4F">
      <w:pPr>
        <w:keepNext/>
        <w:keepLines/>
        <w:pageBreakBefore w:val="0"/>
        <w:widowControl w:val="0"/>
        <w:kinsoku/>
        <w:wordWrap/>
        <w:overflowPunct/>
        <w:topLinePunct w:val="0"/>
        <w:autoSpaceDE/>
        <w:autoSpaceDN/>
        <w:bidi w:val="0"/>
        <w:adjustRightInd/>
        <w:snapToGrid/>
        <w:spacing w:line="600" w:lineRule="exact"/>
        <w:jc w:val="center"/>
        <w:textAlignment w:val="auto"/>
        <w:outlineLvl w:val="1"/>
        <w:rPr>
          <w:rFonts w:hint="eastAsia" w:ascii="宋体" w:hAnsi="宋体" w:eastAsia="宋体" w:cs="宋体"/>
          <w:b/>
          <w:bCs/>
          <w:sz w:val="32"/>
          <w:szCs w:val="32"/>
          <w:lang w:val="en-US" w:eastAsia="zh-CN"/>
        </w:rPr>
      </w:pPr>
      <w:r>
        <w:rPr>
          <w:rFonts w:ascii="宋体" w:hAnsi="宋体" w:eastAsia="宋体"/>
          <w:color w:val="000000"/>
          <w:sz w:val="30"/>
          <w:szCs w:val="30"/>
          <w:lang w:val="zh-TW" w:eastAsia="zh-TW" w:bidi="zh-TW"/>
        </w:rPr>
        <w:t>中投协培〔</w:t>
      </w:r>
      <w:r>
        <w:rPr>
          <w:rFonts w:ascii="Times New Roman" w:hAnsi="Times New Roman" w:eastAsia="Times New Roman" w:cs="Times New Roman"/>
          <w:color w:val="000000"/>
          <w:sz w:val="32"/>
          <w:szCs w:val="32"/>
          <w:lang w:val="zh-TW" w:eastAsia="zh-TW" w:bidi="zh-TW"/>
        </w:rPr>
        <w:t>202</w:t>
      </w:r>
      <w:r>
        <w:rPr>
          <w:rFonts w:hint="eastAsia" w:ascii="Times New Roman" w:hAnsi="Times New Roman" w:eastAsia="宋体" w:cs="Times New Roman"/>
          <w:color w:val="000000"/>
          <w:sz w:val="32"/>
          <w:szCs w:val="32"/>
          <w:lang w:bidi="zh-TW"/>
        </w:rPr>
        <w:t>4</w:t>
      </w:r>
      <w:r>
        <w:rPr>
          <w:rFonts w:ascii="宋体" w:hAnsi="宋体" w:eastAsia="宋体"/>
          <w:color w:val="000000"/>
          <w:sz w:val="30"/>
          <w:szCs w:val="30"/>
          <w:lang w:val="zh-TW" w:eastAsia="zh-TW" w:bidi="zh-TW"/>
        </w:rPr>
        <w:t>〕</w:t>
      </w:r>
      <w:r>
        <w:rPr>
          <w:rFonts w:hint="eastAsia" w:ascii="宋体" w:hAnsi="宋体" w:eastAsia="宋体"/>
          <w:color w:val="000000"/>
          <w:sz w:val="30"/>
          <w:szCs w:val="30"/>
          <w:lang w:val="en-US" w:eastAsia="zh-CN" w:bidi="zh-TW"/>
        </w:rPr>
        <w:t>8</w:t>
      </w:r>
      <w:r>
        <w:rPr>
          <w:rFonts w:ascii="宋体" w:hAnsi="宋体" w:eastAsia="宋体"/>
          <w:color w:val="000000"/>
          <w:sz w:val="30"/>
          <w:szCs w:val="30"/>
          <w:lang w:val="zh-TW" w:eastAsia="zh-TW" w:bidi="zh-TW"/>
        </w:rPr>
        <w:t>号</w:t>
      </w:r>
      <w:r>
        <w:rPr>
          <w:position w:val="-1"/>
        </w:rPr>
        <w:drawing>
          <wp:inline distT="0" distB="0" distL="0" distR="0">
            <wp:extent cx="6019800" cy="37465"/>
            <wp:effectExtent l="0" t="0" r="0" b="635"/>
            <wp:docPr id="3" name="IM 2"/>
            <wp:cNvGraphicFramePr/>
            <a:graphic xmlns:a="http://schemas.openxmlformats.org/drawingml/2006/main">
              <a:graphicData uri="http://schemas.openxmlformats.org/drawingml/2006/picture">
                <pic:pic xmlns:pic="http://schemas.openxmlformats.org/drawingml/2006/picture">
                  <pic:nvPicPr>
                    <pic:cNvPr id="3" name="IM 2"/>
                    <pic:cNvPicPr/>
                  </pic:nvPicPr>
                  <pic:blipFill>
                    <a:blip r:embed="rId4"/>
                    <a:stretch>
                      <a:fillRect/>
                    </a:stretch>
                  </pic:blipFill>
                  <pic:spPr>
                    <a:xfrm>
                      <a:off x="0" y="0"/>
                      <a:ext cx="6019810" cy="38045"/>
                    </a:xfrm>
                    <a:prstGeom prst="rect">
                      <a:avLst/>
                    </a:prstGeom>
                  </pic:spPr>
                </pic:pic>
              </a:graphicData>
            </a:graphic>
          </wp:inline>
        </w:drawing>
      </w:r>
      <w:r>
        <w:rPr>
          <w:rFonts w:hint="eastAsia" w:ascii="宋体" w:hAnsi="宋体" w:eastAsia="宋体" w:cs="宋体"/>
          <w:b/>
          <w:bCs/>
          <w:sz w:val="32"/>
          <w:szCs w:val="32"/>
        </w:rPr>
        <w:t>关于举办“</w:t>
      </w:r>
      <w:r>
        <w:rPr>
          <w:rFonts w:hint="eastAsia" w:ascii="宋体" w:hAnsi="宋体" w:eastAsia="宋体" w:cs="宋体"/>
          <w:b/>
          <w:bCs/>
          <w:sz w:val="32"/>
          <w:szCs w:val="32"/>
          <w:lang w:val="en-US" w:eastAsia="zh-CN"/>
        </w:rPr>
        <w:t>新机制下基础设施投融资与特许经营项目全流程落地实操、风险防控、融资实务</w:t>
      </w:r>
      <w:r>
        <w:rPr>
          <w:rFonts w:hint="eastAsia" w:ascii="宋体" w:hAnsi="宋体" w:eastAsia="宋体" w:cs="宋体"/>
          <w:b/>
          <w:bCs/>
          <w:sz w:val="32"/>
          <w:szCs w:val="32"/>
        </w:rPr>
        <w:t>”专题培训班的通知</w:t>
      </w:r>
    </w:p>
    <w:p w14:paraId="435453A5">
      <w:pPr>
        <w:tabs>
          <w:tab w:val="left" w:pos="315"/>
          <w:tab w:val="left" w:pos="567"/>
          <w:tab w:val="left" w:pos="709"/>
        </w:tabs>
        <w:spacing w:line="480" w:lineRule="exact"/>
        <w:textAlignment w:val="baseline"/>
        <w:outlineLvl w:val="0"/>
        <w:rPr>
          <w:rFonts w:hint="eastAsia"/>
          <w:b/>
          <w:bCs/>
        </w:rPr>
      </w:pPr>
    </w:p>
    <w:p w14:paraId="0F6E503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sz w:val="28"/>
          <w:szCs w:val="28"/>
        </w:rPr>
      </w:pPr>
      <w:r>
        <w:rPr>
          <w:rFonts w:hint="eastAsia" w:ascii="仿宋" w:hAnsi="仿宋" w:eastAsia="仿宋" w:cs="仿宋"/>
          <w:b/>
          <w:bCs/>
          <w:i w:val="0"/>
          <w:iCs w:val="0"/>
          <w:color w:val="000000"/>
          <w:spacing w:val="0"/>
          <w:w w:val="100"/>
          <w:sz w:val="28"/>
          <w:szCs w:val="28"/>
          <w:vertAlign w:val="baseline"/>
        </w:rPr>
        <w:t>各有关单位：</w:t>
      </w:r>
    </w:p>
    <w:p w14:paraId="44FB54D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firstLine="560" w:firstLineChars="200"/>
        <w:jc w:val="both"/>
        <w:textAlignment w:val="auto"/>
        <w:rPr>
          <w:rFonts w:hint="eastAsia" w:ascii="仿宋" w:hAnsi="仿宋" w:eastAsia="仿宋" w:cs="仿宋"/>
          <w:b w:val="0"/>
          <w:bCs w:val="0"/>
          <w:i w:val="0"/>
          <w:iCs w:val="0"/>
          <w:color w:val="000000"/>
          <w:spacing w:val="0"/>
          <w:w w:val="100"/>
          <w:sz w:val="28"/>
          <w:szCs w:val="28"/>
          <w:vertAlign w:val="baseline"/>
        </w:rPr>
      </w:pPr>
      <w:r>
        <w:rPr>
          <w:rFonts w:hint="eastAsia" w:ascii="仿宋" w:hAnsi="仿宋" w:eastAsia="仿宋" w:cs="仿宋"/>
          <w:b w:val="0"/>
          <w:bCs w:val="0"/>
          <w:i w:val="0"/>
          <w:iCs w:val="0"/>
          <w:color w:val="000000"/>
          <w:spacing w:val="0"/>
          <w:w w:val="100"/>
          <w:sz w:val="28"/>
          <w:szCs w:val="28"/>
          <w:vertAlign w:val="baseline"/>
        </w:rPr>
        <w:t>自2023年年底PPP新政的推出，到2024年的《民间投资引导专项中央预算内投资管理暂行办法（征求意见稿）》、《政府和社会资本合作项目特许经营方案编写大纲（2024年试行版）》、《基础设施和公用事业特许经营管理办法》等一系列重磅文件的密集出台，标志着以特许经营模式为主流的我国建筑业新的一轮结构性调整周期已经全面到来。</w:t>
      </w:r>
    </w:p>
    <w:p w14:paraId="3A49407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firstLine="560" w:firstLineChars="200"/>
        <w:jc w:val="both"/>
        <w:textAlignment w:val="auto"/>
        <w:rPr>
          <w:rFonts w:hint="eastAsia" w:ascii="仿宋" w:hAnsi="仿宋" w:eastAsia="仿宋" w:cs="仿宋"/>
          <w:b w:val="0"/>
          <w:bCs w:val="0"/>
          <w:i w:val="0"/>
          <w:iCs w:val="0"/>
          <w:color w:val="000000"/>
          <w:spacing w:val="0"/>
          <w:w w:val="100"/>
          <w:sz w:val="28"/>
          <w:szCs w:val="28"/>
          <w:vertAlign w:val="baseline"/>
        </w:rPr>
      </w:pPr>
      <w:r>
        <w:rPr>
          <w:rFonts w:hint="eastAsia" w:ascii="仿宋" w:hAnsi="仿宋" w:eastAsia="仿宋" w:cs="仿宋"/>
          <w:b w:val="0"/>
          <w:bCs w:val="0"/>
          <w:i w:val="0"/>
          <w:iCs w:val="0"/>
          <w:color w:val="000000"/>
          <w:spacing w:val="0"/>
          <w:w w:val="100"/>
          <w:sz w:val="28"/>
          <w:szCs w:val="28"/>
          <w:vertAlign w:val="baseline"/>
        </w:rPr>
        <w:t>如何成功实现从以前的“干活拿钱”到现在的“运营赚钱”？如何在“空气稀薄地带”获取优质项目？如何更好地实现区域经济的高质量发展？</w:t>
      </w:r>
    </w:p>
    <w:p w14:paraId="25B238F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firstLine="560" w:firstLineChars="200"/>
        <w:jc w:val="both"/>
        <w:textAlignment w:val="auto"/>
        <w:rPr>
          <w:rFonts w:hint="eastAsia" w:ascii="仿宋" w:hAnsi="仿宋" w:eastAsia="仿宋" w:cs="仿宋"/>
          <w:b w:val="0"/>
          <w:bCs w:val="0"/>
          <w:sz w:val="28"/>
          <w:szCs w:val="28"/>
        </w:rPr>
      </w:pPr>
      <w:r>
        <w:rPr>
          <w:rFonts w:hint="eastAsia" w:ascii="仿宋" w:hAnsi="仿宋" w:eastAsia="仿宋" w:cs="仿宋"/>
          <w:b w:val="0"/>
          <w:bCs w:val="0"/>
          <w:i w:val="0"/>
          <w:iCs w:val="0"/>
          <w:color w:val="000000"/>
          <w:spacing w:val="0"/>
          <w:w w:val="100"/>
          <w:sz w:val="28"/>
          <w:szCs w:val="28"/>
          <w:vertAlign w:val="baseline"/>
        </w:rPr>
        <w:t>为了帮助地方政府、各类城投公司、中央企业、地方国企、专业化民营企业、金融机构、项目咨询策划机构等准确把握最新政策导向，学习、交流和探讨当前特许经营时代全面到来的过程中遇到难点问题并找到应对的措施，中国投资协会培训中心特举办“</w:t>
      </w:r>
      <w:r>
        <w:rPr>
          <w:rFonts w:hint="eastAsia" w:cs="仿宋"/>
          <w:b w:val="0"/>
          <w:bCs w:val="0"/>
          <w:i w:val="0"/>
          <w:iCs w:val="0"/>
          <w:color w:val="000000"/>
          <w:spacing w:val="0"/>
          <w:w w:val="100"/>
          <w:sz w:val="28"/>
          <w:szCs w:val="28"/>
          <w:vertAlign w:val="baseline"/>
          <w:lang w:val="en-US" w:eastAsia="zh-CN"/>
        </w:rPr>
        <w:t>新机制下基础设施投融资与特许经营项目全流程落地实操</w:t>
      </w:r>
      <w:r>
        <w:rPr>
          <w:rFonts w:hint="eastAsia" w:ascii="仿宋" w:hAnsi="仿宋" w:eastAsia="仿宋" w:cs="仿宋"/>
          <w:b w:val="0"/>
          <w:bCs w:val="0"/>
          <w:i w:val="0"/>
          <w:iCs w:val="0"/>
          <w:color w:val="000000"/>
          <w:spacing w:val="0"/>
          <w:w w:val="100"/>
          <w:sz w:val="28"/>
          <w:szCs w:val="28"/>
          <w:vertAlign w:val="baseline"/>
        </w:rPr>
        <w:t>、风险防控、融资实务”专题培训班，现将有关事项通知如下:</w:t>
      </w:r>
    </w:p>
    <w:p w14:paraId="64754497">
      <w:pPr>
        <w:tabs>
          <w:tab w:val="left" w:pos="315"/>
          <w:tab w:val="left" w:pos="567"/>
          <w:tab w:val="left" w:pos="709"/>
        </w:tabs>
        <w:snapToGrid w:val="0"/>
        <w:spacing w:line="360" w:lineRule="exact"/>
        <w:textAlignment w:val="baseline"/>
        <w:outlineLvl w:val="0"/>
        <w:rPr>
          <w:rFonts w:hint="eastAsia" w:ascii="仿宋" w:hAnsi="仿宋" w:eastAsia="仿宋" w:cs="仿宋"/>
          <w:b/>
          <w:bCs/>
          <w:color w:val="000000"/>
          <w:sz w:val="32"/>
          <w:szCs w:val="32"/>
        </w:rPr>
      </w:pPr>
    </w:p>
    <w:p w14:paraId="45FBDD15">
      <w:pPr>
        <w:pStyle w:val="6"/>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一</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培训内容</w:t>
      </w:r>
    </w:p>
    <w:p w14:paraId="05F243FD">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textAlignment w:val="auto"/>
        <w:rPr>
          <w:rFonts w:hint="eastAsia" w:ascii="仿宋" w:hAnsi="仿宋" w:eastAsia="仿宋" w:cs="仿宋"/>
          <w:b/>
          <w:bCs/>
          <w:sz w:val="28"/>
          <w:szCs w:val="28"/>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一</w:t>
      </w:r>
      <w:r>
        <w:rPr>
          <w:rFonts w:hint="eastAsia" w:ascii="仿宋" w:hAnsi="仿宋" w:eastAsia="仿宋" w:cs="仿宋"/>
          <w:b/>
          <w:bCs/>
          <w:sz w:val="28"/>
          <w:szCs w:val="28"/>
          <w:lang w:eastAsia="zh-CN"/>
        </w:rPr>
        <w:t>）</w:t>
      </w:r>
      <w:r>
        <w:rPr>
          <w:rFonts w:hint="eastAsia" w:ascii="仿宋" w:hAnsi="仿宋" w:eastAsia="仿宋" w:cs="仿宋"/>
          <w:b/>
          <w:bCs/>
          <w:sz w:val="28"/>
          <w:szCs w:val="28"/>
        </w:rPr>
        <w:t>国家最新特许经营政策精讲</w:t>
      </w:r>
    </w:p>
    <w:p w14:paraId="681E5F7B">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1.近期系列重要文件要点剖析</w:t>
      </w:r>
      <w:r>
        <w:rPr>
          <w:rFonts w:hint="eastAsia" w:cs="仿宋"/>
          <w:sz w:val="28"/>
          <w:szCs w:val="28"/>
          <w:lang w:val="en-US" w:eastAsia="zh-CN"/>
        </w:rPr>
        <w:t>；</w:t>
      </w:r>
    </w:p>
    <w:p w14:paraId="1BC4FE7D">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（1）《基础设施和公用事业特许经营管理办法》（发改委2024第17号令，2024年3月28日）；</w:t>
      </w:r>
    </w:p>
    <w:p w14:paraId="11DF9305">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（2）《政府和社会资本合作项目特许经营方案编写大纲（2024年试行版）》（发改办投资〔2024〕227号，2024年3月20日）；</w:t>
      </w:r>
    </w:p>
    <w:p w14:paraId="701EAF2A">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（3）《政府和社会资本合作项目特许经营协议（编制）范本（2024年试行版）》；</w:t>
      </w:r>
    </w:p>
    <w:p w14:paraId="57D38E67">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（4）《民间投资引导专项中央预算内投资管理暂行办法（征求意见稿）》（国家发改委，2024年2月19日）；</w:t>
      </w:r>
    </w:p>
    <w:p w14:paraId="1D02217A">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（5）《关于规范实施政府和社会资本合作新机制的指导意见》（国办函〔2023〕115号，2023年11月3日）等文件精讲</w:t>
      </w:r>
      <w:r>
        <w:rPr>
          <w:rFonts w:hint="eastAsia" w:cs="仿宋"/>
          <w:sz w:val="28"/>
          <w:szCs w:val="28"/>
          <w:lang w:val="en-US" w:eastAsia="zh-CN"/>
        </w:rPr>
        <w:t>。</w:t>
      </w:r>
    </w:p>
    <w:p w14:paraId="5F75694C">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2.根据上述文件，企业如何寻找收益率高、风险可控的优质特性经营项目？地方政府如何谋划落地高质量的特许经营项目？</w:t>
      </w:r>
    </w:p>
    <w:p w14:paraId="33132007">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textAlignment w:val="auto"/>
        <w:rPr>
          <w:rFonts w:hint="eastAsia" w:ascii="仿宋" w:hAnsi="仿宋" w:eastAsia="仿宋" w:cs="仿宋"/>
          <w:b/>
          <w:bCs/>
          <w:sz w:val="28"/>
          <w:szCs w:val="28"/>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二</w:t>
      </w:r>
      <w:r>
        <w:rPr>
          <w:rFonts w:hint="eastAsia" w:ascii="仿宋" w:hAnsi="仿宋" w:eastAsia="仿宋" w:cs="仿宋"/>
          <w:b/>
          <w:bCs/>
          <w:sz w:val="28"/>
          <w:szCs w:val="28"/>
          <w:lang w:eastAsia="zh-CN"/>
        </w:rPr>
        <w:t>）</w:t>
      </w:r>
      <w:r>
        <w:rPr>
          <w:rFonts w:hint="eastAsia" w:ascii="仿宋" w:hAnsi="仿宋" w:eastAsia="仿宋" w:cs="仿宋"/>
          <w:b/>
          <w:bCs/>
          <w:sz w:val="28"/>
          <w:szCs w:val="28"/>
        </w:rPr>
        <w:t>PPP新机制深度解析</w:t>
      </w:r>
    </w:p>
    <w:p w14:paraId="42BAE3AA">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1.PPP新机制的政策背景与核心要求；</w:t>
      </w:r>
    </w:p>
    <w:p w14:paraId="1290F75C">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2.PPP新机制的主要适用领域和运作模式；</w:t>
      </w:r>
    </w:p>
    <w:p w14:paraId="733EC5C3">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3.PPP新机制与《政府投资条例》《企业投资核准与备案条例》衔接的最新审批流程和政府监管要求、政府投资资金和政府投资项目的区别与联系；</w:t>
      </w:r>
    </w:p>
    <w:p w14:paraId="0131F275">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4.政府投资支持和政府付费、可行性缺口补助的关系；</w:t>
      </w:r>
    </w:p>
    <w:p w14:paraId="018795D1">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5.使用者付费特许经营项目的策划与提升项目收益的主要路径；</w:t>
      </w:r>
    </w:p>
    <w:p w14:paraId="30EE55EF">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6.使用者付费特许经营项目使用财政资金进行支持或补贴的主要方式；</w:t>
      </w:r>
    </w:p>
    <w:p w14:paraId="3896DEE0">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7.地方城投公司或融资平台参与特许经营项目的有效方式；</w:t>
      </w:r>
    </w:p>
    <w:p w14:paraId="3D3B9A5A">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8.特许经营项目公司治理如股权结构设计等。</w:t>
      </w:r>
    </w:p>
    <w:p w14:paraId="6FF46DAE">
      <w:pPr>
        <w:pStyle w:val="6"/>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b/>
          <w:bCs/>
          <w:sz w:val="28"/>
          <w:szCs w:val="28"/>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三</w:t>
      </w:r>
      <w:r>
        <w:rPr>
          <w:rFonts w:hint="eastAsia" w:ascii="仿宋" w:hAnsi="仿宋" w:eastAsia="仿宋" w:cs="仿宋"/>
          <w:b/>
          <w:bCs/>
          <w:sz w:val="28"/>
          <w:szCs w:val="28"/>
          <w:lang w:eastAsia="zh-CN"/>
        </w:rPr>
        <w:t>）</w:t>
      </w:r>
      <w:r>
        <w:rPr>
          <w:rFonts w:hint="eastAsia" w:ascii="仿宋" w:hAnsi="仿宋" w:eastAsia="仿宋" w:cs="仿宋"/>
          <w:b/>
          <w:bCs/>
          <w:sz w:val="28"/>
          <w:szCs w:val="28"/>
        </w:rPr>
        <w:t>基础设施项目投融资策划</w:t>
      </w:r>
    </w:p>
    <w:p w14:paraId="025DDF40">
      <w:pPr>
        <w:pStyle w:val="6"/>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1.对基础设施项目投融资策划相关政策体系进行梳理分析，及相互逻辑对应关系；</w:t>
      </w:r>
    </w:p>
    <w:p w14:paraId="0357B341">
      <w:pPr>
        <w:pStyle w:val="6"/>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2.对基础设施、城市更新、生态环境、新基建等领域适用的投融资模式进行分析；</w:t>
      </w:r>
    </w:p>
    <w:p w14:paraId="02A081C8">
      <w:pPr>
        <w:pStyle w:val="6"/>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3.对专项债/超长期特别国债的适用性、申报要点进行分析；</w:t>
      </w:r>
    </w:p>
    <w:p w14:paraId="1B53F91E">
      <w:pPr>
        <w:pStyle w:val="6"/>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4.对政策性开发性金融工具的特点、适用性等进行分析；</w:t>
      </w:r>
    </w:p>
    <w:p w14:paraId="1EAF8E64">
      <w:pPr>
        <w:pStyle w:val="6"/>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5.对授权地方国企的模式进行分析；</w:t>
      </w:r>
    </w:p>
    <w:p w14:paraId="7EC8760E">
      <w:pPr>
        <w:pStyle w:val="6"/>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6.对EPC+O等模式的应用要点进行分析；</w:t>
      </w:r>
    </w:p>
    <w:p w14:paraId="37876C0E">
      <w:pPr>
        <w:pStyle w:val="6"/>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7.对公益性项目投资回报机制创新进行分析；</w:t>
      </w:r>
    </w:p>
    <w:p w14:paraId="1BB79BF8">
      <w:pPr>
        <w:pStyle w:val="6"/>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8.对ABO模式的应用要点进行分析；</w:t>
      </w:r>
    </w:p>
    <w:p w14:paraId="3DBA41D1">
      <w:pPr>
        <w:pStyle w:val="6"/>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9.对新机制下的特许经营/PPP操作要点进行分析，对于回报机制、国企参与等易错处进行释疑；</w:t>
      </w:r>
    </w:p>
    <w:p w14:paraId="52CF5048">
      <w:pPr>
        <w:pStyle w:val="6"/>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rPr>
        <w:t>10.对各种投融资模式下的项目谋划，从投资主体、适用范围、权责关系、支付路径等维度给出初步建议</w:t>
      </w:r>
      <w:r>
        <w:rPr>
          <w:rFonts w:hint="eastAsia" w:hAnsi="仿宋" w:cs="仿宋"/>
          <w:sz w:val="28"/>
          <w:szCs w:val="28"/>
          <w:lang w:eastAsia="zh-CN"/>
        </w:rPr>
        <w:t>；</w:t>
      </w:r>
    </w:p>
    <w:p w14:paraId="0EFF781A">
      <w:pPr>
        <w:pStyle w:val="6"/>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rPr>
        <w:t>11.对政府投融资的案例进行分析，包括城市更新、新基建、EOD、专项债、政策性金融工具、特许经营、EPC+O、ABO等项目案例</w:t>
      </w:r>
      <w:r>
        <w:rPr>
          <w:rFonts w:hint="eastAsia" w:hAnsi="仿宋" w:cs="仿宋"/>
          <w:sz w:val="28"/>
          <w:szCs w:val="28"/>
          <w:lang w:eastAsia="zh-CN"/>
        </w:rPr>
        <w:t>；</w:t>
      </w:r>
    </w:p>
    <w:p w14:paraId="6EE954C4">
      <w:pPr>
        <w:pStyle w:val="6"/>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12.结合相关项目案例给出工作建议。</w:t>
      </w:r>
    </w:p>
    <w:p w14:paraId="76BABDE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（四）基础设施投融资项目合作模式分析和建议</w:t>
      </w:r>
    </w:p>
    <w:p w14:paraId="5333F9DB">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cs="仿宋"/>
          <w:sz w:val="28"/>
          <w:szCs w:val="28"/>
          <w:lang w:val="en-US" w:eastAsia="zh-CN"/>
        </w:rPr>
        <w:t>.</w:t>
      </w:r>
      <w:r>
        <w:rPr>
          <w:rFonts w:hint="eastAsia" w:ascii="仿宋" w:hAnsi="仿宋" w:eastAsia="仿宋" w:cs="仿宋"/>
          <w:sz w:val="28"/>
          <w:szCs w:val="28"/>
        </w:rPr>
        <w:t>新机制下基础设施投融资模式分析</w:t>
      </w:r>
      <w:r>
        <w:rPr>
          <w:rFonts w:hint="eastAsia" w:cs="仿宋"/>
          <w:sz w:val="28"/>
          <w:szCs w:val="28"/>
          <w:lang w:eastAsia="zh-CN"/>
        </w:rPr>
        <w:t>；</w:t>
      </w:r>
    </w:p>
    <w:p w14:paraId="26DAC698">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textAlignment w:val="auto"/>
        <w:rPr>
          <w:rFonts w:hint="eastAsia" w:ascii="仿宋" w:hAnsi="仿宋" w:eastAsia="仿宋" w:cs="仿宋"/>
          <w:sz w:val="28"/>
          <w:szCs w:val="28"/>
          <w:lang w:eastAsia="zh-CN"/>
        </w:rPr>
      </w:pPr>
      <w:r>
        <w:rPr>
          <w:rFonts w:hint="eastAsia" w:cs="仿宋"/>
          <w:sz w:val="28"/>
          <w:szCs w:val="28"/>
          <w:lang w:val="en-US" w:eastAsia="zh-CN"/>
        </w:rPr>
        <w:t>2.</w:t>
      </w:r>
      <w:r>
        <w:rPr>
          <w:rFonts w:hint="eastAsia" w:ascii="仿宋" w:hAnsi="仿宋" w:eastAsia="仿宋" w:cs="仿宋"/>
          <w:sz w:val="28"/>
          <w:szCs w:val="28"/>
        </w:rPr>
        <w:t>新机制下特许经营模式政策解读和案例分享</w:t>
      </w:r>
      <w:r>
        <w:rPr>
          <w:rFonts w:hint="eastAsia" w:cs="仿宋"/>
          <w:sz w:val="28"/>
          <w:szCs w:val="28"/>
          <w:lang w:eastAsia="zh-CN"/>
        </w:rPr>
        <w:t>；</w:t>
      </w:r>
    </w:p>
    <w:p w14:paraId="48F63695">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rPr>
        <w:t>3</w:t>
      </w:r>
      <w:r>
        <w:rPr>
          <w:rFonts w:hint="eastAsia" w:cs="仿宋"/>
          <w:sz w:val="28"/>
          <w:szCs w:val="28"/>
          <w:lang w:val="en-US" w:eastAsia="zh-CN"/>
        </w:rPr>
        <w:t>.</w:t>
      </w:r>
      <w:r>
        <w:rPr>
          <w:rFonts w:hint="eastAsia" w:ascii="仿宋" w:hAnsi="仿宋" w:eastAsia="仿宋" w:cs="仿宋"/>
          <w:sz w:val="28"/>
          <w:szCs w:val="28"/>
        </w:rPr>
        <w:t>新机制下非标投融资模式建议和案例分享</w:t>
      </w:r>
      <w:r>
        <w:rPr>
          <w:rFonts w:hint="eastAsia" w:cs="仿宋"/>
          <w:sz w:val="28"/>
          <w:szCs w:val="28"/>
          <w:lang w:eastAsia="zh-CN"/>
        </w:rPr>
        <w:t>；</w:t>
      </w:r>
    </w:p>
    <w:p w14:paraId="43BAC907">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某地市片区开发项目案例分享</w:t>
      </w:r>
      <w:r>
        <w:rPr>
          <w:rFonts w:hint="eastAsia" w:cs="仿宋"/>
          <w:sz w:val="28"/>
          <w:szCs w:val="28"/>
          <w:lang w:eastAsia="zh-CN"/>
        </w:rPr>
        <w:t>；</w:t>
      </w:r>
    </w:p>
    <w:p w14:paraId="2B8FA7E1">
      <w:pPr>
        <w:keepNext w:val="0"/>
        <w:keepLines w:val="0"/>
        <w:pageBreakBefore w:val="0"/>
        <w:widowControl w:val="0"/>
        <w:kinsoku/>
        <w:wordWrap/>
        <w:overflowPunct/>
        <w:topLinePunct w:val="0"/>
        <w:autoSpaceDE/>
        <w:autoSpaceDN/>
        <w:bidi w:val="0"/>
        <w:adjustRightInd/>
        <w:snapToGrid/>
        <w:spacing w:line="380" w:lineRule="exact"/>
        <w:ind w:left="0" w:leftChars="0" w:firstLine="0"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某地市全域土地整治案例分享</w:t>
      </w:r>
      <w:r>
        <w:rPr>
          <w:rFonts w:hint="eastAsia" w:cs="仿宋"/>
          <w:sz w:val="28"/>
          <w:szCs w:val="28"/>
          <w:lang w:eastAsia="zh-CN"/>
        </w:rPr>
        <w:t>。</w:t>
      </w:r>
    </w:p>
    <w:p w14:paraId="226858EC">
      <w:pPr>
        <w:pStyle w:val="6"/>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（五）基础设施投资项目全生命周期管理</w:t>
      </w:r>
    </w:p>
    <w:p w14:paraId="4ACA6D3A">
      <w:pPr>
        <w:pStyle w:val="6"/>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hAnsi="仿宋" w:cs="仿宋"/>
          <w:sz w:val="28"/>
          <w:szCs w:val="28"/>
          <w:lang w:val="en-US" w:eastAsia="zh-CN"/>
        </w:rPr>
        <w:t>.</w:t>
      </w:r>
      <w:r>
        <w:rPr>
          <w:rFonts w:hint="eastAsia" w:ascii="仿宋" w:hAnsi="仿宋" w:eastAsia="仿宋" w:cs="仿宋"/>
          <w:sz w:val="28"/>
          <w:szCs w:val="28"/>
        </w:rPr>
        <w:t>基础设施投资项目全生命周期管理痛点和目标</w:t>
      </w:r>
      <w:r>
        <w:rPr>
          <w:rFonts w:hint="eastAsia" w:hAnsi="仿宋" w:cs="仿宋"/>
          <w:sz w:val="28"/>
          <w:szCs w:val="28"/>
          <w:lang w:eastAsia="zh-CN"/>
        </w:rPr>
        <w:t>；</w:t>
      </w:r>
    </w:p>
    <w:p w14:paraId="733EAF52">
      <w:pPr>
        <w:pStyle w:val="6"/>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rPr>
        <w:t>2</w:t>
      </w:r>
      <w:r>
        <w:rPr>
          <w:rFonts w:hint="eastAsia" w:hAnsi="仿宋" w:cs="仿宋"/>
          <w:sz w:val="28"/>
          <w:szCs w:val="28"/>
          <w:lang w:val="en-US" w:eastAsia="zh-CN"/>
        </w:rPr>
        <w:t>.</w:t>
      </w:r>
      <w:r>
        <w:rPr>
          <w:rFonts w:hint="eastAsia" w:ascii="仿宋" w:hAnsi="仿宋" w:eastAsia="仿宋" w:cs="仿宋"/>
          <w:sz w:val="28"/>
          <w:szCs w:val="28"/>
        </w:rPr>
        <w:t>基础设施投资项目全生命周期管理难点和要点分析</w:t>
      </w:r>
      <w:r>
        <w:rPr>
          <w:rFonts w:hint="eastAsia" w:hAnsi="仿宋" w:cs="仿宋"/>
          <w:sz w:val="28"/>
          <w:szCs w:val="28"/>
          <w:lang w:eastAsia="zh-CN"/>
        </w:rPr>
        <w:t>；</w:t>
      </w:r>
    </w:p>
    <w:p w14:paraId="1D35452E">
      <w:pPr>
        <w:pStyle w:val="6"/>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投前方案策划和合同谈判要点分析</w:t>
      </w:r>
      <w:r>
        <w:rPr>
          <w:rFonts w:hint="eastAsia" w:hAnsi="仿宋" w:cs="仿宋"/>
          <w:sz w:val="28"/>
          <w:szCs w:val="28"/>
          <w:lang w:eastAsia="zh-CN"/>
        </w:rPr>
        <w:t>；</w:t>
      </w:r>
    </w:p>
    <w:p w14:paraId="5474BEBE">
      <w:pPr>
        <w:pStyle w:val="6"/>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建设期项目建设管理难点、重点分析</w:t>
      </w:r>
      <w:r>
        <w:rPr>
          <w:rFonts w:hint="eastAsia" w:hAnsi="仿宋" w:cs="仿宋"/>
          <w:sz w:val="28"/>
          <w:szCs w:val="28"/>
          <w:lang w:eastAsia="zh-CN"/>
        </w:rPr>
        <w:t>；</w:t>
      </w:r>
    </w:p>
    <w:p w14:paraId="0A56AD5E">
      <w:pPr>
        <w:pStyle w:val="6"/>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运营期项目管理难点、重点分析</w:t>
      </w:r>
      <w:r>
        <w:rPr>
          <w:rFonts w:hint="eastAsia" w:hAnsi="仿宋" w:cs="仿宋"/>
          <w:sz w:val="28"/>
          <w:szCs w:val="28"/>
          <w:lang w:eastAsia="zh-CN"/>
        </w:rPr>
        <w:t>。</w:t>
      </w:r>
    </w:p>
    <w:p w14:paraId="514DDCE6">
      <w:pPr>
        <w:pStyle w:val="6"/>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rPr>
        <w:t>3</w:t>
      </w:r>
      <w:r>
        <w:rPr>
          <w:rFonts w:hint="eastAsia" w:hAnsi="仿宋" w:cs="仿宋"/>
          <w:sz w:val="28"/>
          <w:szCs w:val="28"/>
          <w:lang w:val="en-US" w:eastAsia="zh-CN"/>
        </w:rPr>
        <w:t>.</w:t>
      </w:r>
      <w:r>
        <w:rPr>
          <w:rFonts w:hint="eastAsia" w:ascii="仿宋" w:hAnsi="仿宋" w:eastAsia="仿宋" w:cs="仿宋"/>
          <w:sz w:val="28"/>
          <w:szCs w:val="28"/>
        </w:rPr>
        <w:t>基础设施投资项目全生命周期管理措施</w:t>
      </w:r>
      <w:r>
        <w:rPr>
          <w:rFonts w:hint="eastAsia" w:hAnsi="仿宋" w:cs="仿宋"/>
          <w:sz w:val="28"/>
          <w:szCs w:val="28"/>
          <w:lang w:eastAsia="zh-CN"/>
        </w:rPr>
        <w:t>；</w:t>
      </w:r>
    </w:p>
    <w:p w14:paraId="23ECC040">
      <w:pPr>
        <w:pStyle w:val="6"/>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基础设施项目投资建设成本管理</w:t>
      </w:r>
      <w:r>
        <w:rPr>
          <w:rFonts w:hint="eastAsia" w:hAnsi="仿宋" w:cs="仿宋"/>
          <w:sz w:val="28"/>
          <w:szCs w:val="28"/>
          <w:lang w:eastAsia="zh-CN"/>
        </w:rPr>
        <w:t>；</w:t>
      </w:r>
    </w:p>
    <w:p w14:paraId="6CACB4AA">
      <w:pPr>
        <w:pStyle w:val="6"/>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基础设施项目投资建设进度管理</w:t>
      </w:r>
      <w:r>
        <w:rPr>
          <w:rFonts w:hint="eastAsia" w:hAnsi="仿宋" w:cs="仿宋"/>
          <w:sz w:val="28"/>
          <w:szCs w:val="28"/>
          <w:lang w:eastAsia="zh-CN"/>
        </w:rPr>
        <w:t>；</w:t>
      </w:r>
    </w:p>
    <w:p w14:paraId="459B8C86">
      <w:pPr>
        <w:pStyle w:val="6"/>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基础设施项目投资建设质量管理</w:t>
      </w:r>
      <w:r>
        <w:rPr>
          <w:rFonts w:hint="eastAsia" w:hAnsi="仿宋" w:cs="仿宋"/>
          <w:sz w:val="28"/>
          <w:szCs w:val="28"/>
          <w:lang w:eastAsia="zh-CN"/>
        </w:rPr>
        <w:t>；</w:t>
      </w:r>
    </w:p>
    <w:p w14:paraId="536F8B6A">
      <w:pPr>
        <w:pStyle w:val="6"/>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rPr>
        <w:t>基础设施项目投资建设安全管理</w:t>
      </w:r>
      <w:r>
        <w:rPr>
          <w:rFonts w:hint="eastAsia" w:hAnsi="仿宋" w:cs="仿宋"/>
          <w:sz w:val="28"/>
          <w:szCs w:val="28"/>
          <w:lang w:eastAsia="zh-CN"/>
        </w:rPr>
        <w:t>；</w:t>
      </w:r>
    </w:p>
    <w:p w14:paraId="15CD112C">
      <w:pPr>
        <w:pStyle w:val="6"/>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w:t>
      </w:r>
      <w:r>
        <w:rPr>
          <w:rFonts w:hint="eastAsia" w:ascii="仿宋" w:hAnsi="仿宋" w:eastAsia="仿宋" w:cs="仿宋"/>
          <w:sz w:val="28"/>
          <w:szCs w:val="28"/>
        </w:rPr>
        <w:t>基础设施项目投资建设采购与供应链管理</w:t>
      </w:r>
      <w:r>
        <w:rPr>
          <w:rFonts w:hint="eastAsia" w:hAnsi="仿宋" w:cs="仿宋"/>
          <w:sz w:val="28"/>
          <w:szCs w:val="28"/>
          <w:lang w:eastAsia="zh-CN"/>
        </w:rPr>
        <w:t>；</w:t>
      </w:r>
    </w:p>
    <w:p w14:paraId="5BCAA8F7">
      <w:pPr>
        <w:pStyle w:val="6"/>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w:t>
      </w:r>
      <w:r>
        <w:rPr>
          <w:rFonts w:hint="eastAsia" w:ascii="仿宋" w:hAnsi="仿宋" w:eastAsia="仿宋" w:cs="仿宋"/>
          <w:sz w:val="28"/>
          <w:szCs w:val="28"/>
        </w:rPr>
        <w:t>基础设施项目投资建设合同管理</w:t>
      </w:r>
      <w:r>
        <w:rPr>
          <w:rFonts w:hint="eastAsia" w:hAnsi="仿宋" w:cs="仿宋"/>
          <w:sz w:val="28"/>
          <w:szCs w:val="28"/>
          <w:lang w:eastAsia="zh-CN"/>
        </w:rPr>
        <w:t>；</w:t>
      </w:r>
    </w:p>
    <w:p w14:paraId="3F738BF4">
      <w:pPr>
        <w:pStyle w:val="6"/>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w:t>
      </w:r>
      <w:r>
        <w:rPr>
          <w:rFonts w:hint="eastAsia" w:ascii="仿宋" w:hAnsi="仿宋" w:eastAsia="仿宋" w:cs="仿宋"/>
          <w:sz w:val="28"/>
          <w:szCs w:val="28"/>
        </w:rPr>
        <w:t>基础设施项目投资建设风险管理</w:t>
      </w:r>
      <w:r>
        <w:rPr>
          <w:rFonts w:hint="eastAsia" w:hAnsi="仿宋" w:cs="仿宋"/>
          <w:sz w:val="28"/>
          <w:szCs w:val="28"/>
          <w:lang w:eastAsia="zh-CN"/>
        </w:rPr>
        <w:t>；</w:t>
      </w:r>
    </w:p>
    <w:p w14:paraId="4F6EBD87">
      <w:pPr>
        <w:pStyle w:val="6"/>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8</w:t>
      </w:r>
      <w:r>
        <w:rPr>
          <w:rFonts w:hint="eastAsia" w:ascii="仿宋" w:hAnsi="仿宋" w:eastAsia="仿宋" w:cs="仿宋"/>
          <w:sz w:val="28"/>
          <w:szCs w:val="28"/>
          <w:lang w:eastAsia="zh-CN"/>
        </w:rPr>
        <w:t>）</w:t>
      </w:r>
      <w:r>
        <w:rPr>
          <w:rFonts w:hint="eastAsia" w:ascii="仿宋" w:hAnsi="仿宋" w:eastAsia="仿宋" w:cs="仿宋"/>
          <w:sz w:val="28"/>
          <w:szCs w:val="28"/>
        </w:rPr>
        <w:t>基础设施项目投资建设信息管理</w:t>
      </w:r>
      <w:r>
        <w:rPr>
          <w:rFonts w:hint="eastAsia" w:hAnsi="仿宋" w:cs="仿宋"/>
          <w:sz w:val="28"/>
          <w:szCs w:val="28"/>
          <w:lang w:eastAsia="zh-CN"/>
        </w:rPr>
        <w:t>。</w:t>
      </w:r>
    </w:p>
    <w:p w14:paraId="4D3A0BD7">
      <w:pPr>
        <w:pStyle w:val="6"/>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rPr>
        <w:t>4</w:t>
      </w:r>
      <w:r>
        <w:rPr>
          <w:rFonts w:hint="eastAsia" w:hAnsi="仿宋" w:cs="仿宋"/>
          <w:sz w:val="28"/>
          <w:szCs w:val="28"/>
          <w:lang w:val="en-US" w:eastAsia="zh-CN"/>
        </w:rPr>
        <w:t>.</w:t>
      </w:r>
      <w:r>
        <w:rPr>
          <w:rFonts w:hint="eastAsia" w:ascii="仿宋" w:hAnsi="仿宋" w:eastAsia="仿宋" w:cs="仿宋"/>
          <w:sz w:val="28"/>
          <w:szCs w:val="28"/>
        </w:rPr>
        <w:t>以某基础设施投资项目为例分享全生命周期经济管理经验和方法</w:t>
      </w:r>
      <w:r>
        <w:rPr>
          <w:rFonts w:hint="eastAsia" w:hAnsi="仿宋" w:cs="仿宋"/>
          <w:sz w:val="28"/>
          <w:szCs w:val="28"/>
          <w:lang w:eastAsia="zh-CN"/>
        </w:rPr>
        <w:t>。</w:t>
      </w:r>
    </w:p>
    <w:p w14:paraId="203DF85A">
      <w:pPr>
        <w:pStyle w:val="6"/>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（六）特许经营项目全流程开发、实施要点剖析</w:t>
      </w:r>
    </w:p>
    <w:p w14:paraId="26EB90D1">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rPr>
        <w:t>1.准备阶段</w:t>
      </w:r>
      <w:r>
        <w:rPr>
          <w:rFonts w:hint="eastAsia" w:cs="仿宋"/>
          <w:sz w:val="28"/>
          <w:szCs w:val="28"/>
          <w:lang w:eastAsia="zh-CN"/>
        </w:rPr>
        <w:t>；</w:t>
      </w:r>
    </w:p>
    <w:p w14:paraId="1DBE3FBA">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（1）优质特许经营项目的信息筛选；</w:t>
      </w:r>
    </w:p>
    <w:p w14:paraId="50D3109C">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（2）特许经营付费者群体付费能力调研精要；</w:t>
      </w:r>
    </w:p>
    <w:p w14:paraId="6AD5E2E7">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（3）特许经营项目所在地政策风险及市场风险评估。</w:t>
      </w:r>
    </w:p>
    <w:p w14:paraId="58BDCBAD">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rPr>
        <w:t>2.开发计划与招投标</w:t>
      </w:r>
      <w:r>
        <w:rPr>
          <w:rFonts w:hint="eastAsia" w:cs="仿宋"/>
          <w:sz w:val="28"/>
          <w:szCs w:val="28"/>
          <w:lang w:eastAsia="zh-CN"/>
        </w:rPr>
        <w:t>；</w:t>
      </w:r>
    </w:p>
    <w:p w14:paraId="722CBA73">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（1）特许经营项目开发计划报告撰写精讲；</w:t>
      </w:r>
    </w:p>
    <w:p w14:paraId="199345E0">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（2）特许经营项目招投标全流程策划；</w:t>
      </w:r>
    </w:p>
    <w:p w14:paraId="225ED181">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（3）如何设计既可以保证竞争力、又可以实现企业合理利润的投标关键经济参数？（如最小经营单位的采暖费、污水处理费、电费；特许经营年限设计等）。</w:t>
      </w:r>
    </w:p>
    <w:p w14:paraId="7EFC174D">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rPr>
        <w:t>3.特许经营合同的签订与实施</w:t>
      </w:r>
      <w:r>
        <w:rPr>
          <w:rFonts w:hint="eastAsia" w:cs="仿宋"/>
          <w:sz w:val="28"/>
          <w:szCs w:val="28"/>
          <w:lang w:eastAsia="zh-CN"/>
        </w:rPr>
        <w:t>；</w:t>
      </w:r>
    </w:p>
    <w:p w14:paraId="5BBFE52C">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（1）特许经营项目合同谈判及签订要点解析；</w:t>
      </w:r>
    </w:p>
    <w:p w14:paraId="4BEEB457">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（2）如何在不增加政府隐形负债的前提下，合理提前锁定项目政府补贴收入？</w:t>
      </w:r>
    </w:p>
    <w:p w14:paraId="68E5E685">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（3）路径设计关键点：a.特许经营者直接向用户收费，b.由政府或其依法授权机构代为向用户收费，以及上述两种收费方式的利弊分析；</w:t>
      </w:r>
    </w:p>
    <w:p w14:paraId="085ED081">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（4）特许经营项目是否必须设立项目公司及利弊分析。</w:t>
      </w:r>
    </w:p>
    <w:p w14:paraId="62CC77E5">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rPr>
        <w:t>4</w:t>
      </w:r>
      <w:r>
        <w:rPr>
          <w:rFonts w:hint="eastAsia" w:cs="仿宋"/>
          <w:sz w:val="28"/>
          <w:szCs w:val="28"/>
          <w:lang w:val="en-US" w:eastAsia="zh-CN"/>
        </w:rPr>
        <w:t>.</w:t>
      </w:r>
      <w:r>
        <w:rPr>
          <w:rFonts w:hint="eastAsia" w:ascii="仿宋" w:hAnsi="仿宋" w:eastAsia="仿宋" w:cs="仿宋"/>
          <w:sz w:val="28"/>
          <w:szCs w:val="28"/>
        </w:rPr>
        <w:t>建设、运营与绩效考核</w:t>
      </w:r>
      <w:r>
        <w:rPr>
          <w:rFonts w:hint="eastAsia" w:cs="仿宋"/>
          <w:sz w:val="28"/>
          <w:szCs w:val="28"/>
          <w:lang w:eastAsia="zh-CN"/>
        </w:rPr>
        <w:t>；</w:t>
      </w:r>
    </w:p>
    <w:p w14:paraId="2774E1B7">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（1）如何实现特许经营项目的高质量建设与精细化运营管理？</w:t>
      </w:r>
    </w:p>
    <w:p w14:paraId="42A75C50">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（2）持续优化运营服务要点精讲；</w:t>
      </w:r>
    </w:p>
    <w:p w14:paraId="22843002">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（3）特许经营项目绩效考核全要点剖析；</w:t>
      </w:r>
    </w:p>
    <w:p w14:paraId="02917819">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（4）《办法》中有关绩效考核的“降低成本、提升效率、积极创新的效益归特许经营者所有”与“特许经营者应普遍地、无歧视地提供公共产品或公共服务，不得对新增用户实行差别待遇”如何合规运用？</w:t>
      </w:r>
    </w:p>
    <w:p w14:paraId="6275BE93">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（5）成熟的能源管理类项目对特许经营项目的借鉴意义。</w:t>
      </w:r>
    </w:p>
    <w:p w14:paraId="63771219">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rPr>
        <w:t>5.移交与后评价</w:t>
      </w:r>
      <w:r>
        <w:rPr>
          <w:rFonts w:hint="eastAsia" w:cs="仿宋"/>
          <w:sz w:val="28"/>
          <w:szCs w:val="28"/>
          <w:lang w:eastAsia="zh-CN"/>
        </w:rPr>
        <w:t>；</w:t>
      </w:r>
    </w:p>
    <w:p w14:paraId="3C115632">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（1）特许经营项目移交过程要点剖析；</w:t>
      </w:r>
    </w:p>
    <w:p w14:paraId="3BE1DB43">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（2）如何开展全面的项目后评价与总结？</w:t>
      </w:r>
    </w:p>
    <w:p w14:paraId="40D7A6C6">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（七）大型特许经营项目落地全模式精讲</w:t>
      </w:r>
    </w:p>
    <w:p w14:paraId="5C5D4242">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1.特许经营类项目REITs模式</w:t>
      </w:r>
      <w:r>
        <w:rPr>
          <w:rFonts w:hint="eastAsia" w:cs="仿宋"/>
          <w:sz w:val="28"/>
          <w:szCs w:val="28"/>
          <w:lang w:val="en-US" w:eastAsia="zh-CN"/>
        </w:rPr>
        <w:t>；</w:t>
      </w:r>
    </w:p>
    <w:p w14:paraId="5C954A4F">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（1）REITs模式的界定及相关政策阐述；</w:t>
      </w:r>
    </w:p>
    <w:p w14:paraId="205E4CE7">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（2）REITs项目实施全流程解析 ；</w:t>
      </w:r>
    </w:p>
    <w:p w14:paraId="06486054">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（3）REITs项目成功落地的关键点展示。</w:t>
      </w:r>
    </w:p>
    <w:p w14:paraId="0501972C">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2.EOD（生态环保导向）模式</w:t>
      </w:r>
      <w:r>
        <w:rPr>
          <w:rFonts w:hint="eastAsia" w:cs="仿宋"/>
          <w:sz w:val="28"/>
          <w:szCs w:val="28"/>
          <w:lang w:val="en-US" w:eastAsia="zh-CN"/>
        </w:rPr>
        <w:t>；</w:t>
      </w:r>
    </w:p>
    <w:p w14:paraId="1A22C9E2">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（1）EOD项目包装及融资要点梳理；</w:t>
      </w:r>
    </w:p>
    <w:p w14:paraId="03B9ACAC">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（2）EOD项目模式架构设计；</w:t>
      </w:r>
    </w:p>
    <w:p w14:paraId="1DC63857">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（3）EOD项目融资模型展示；</w:t>
      </w:r>
    </w:p>
    <w:p w14:paraId="1849B001">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（4）以落地的大型EOD项目全过程要点实战解析。</w:t>
      </w:r>
    </w:p>
    <w:p w14:paraId="4FAAA3DF">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3.特许经营+EPC模式</w:t>
      </w:r>
      <w:r>
        <w:rPr>
          <w:rFonts w:hint="eastAsia" w:cs="仿宋"/>
          <w:sz w:val="28"/>
          <w:szCs w:val="28"/>
          <w:lang w:val="en-US" w:eastAsia="zh-CN"/>
        </w:rPr>
        <w:t>；</w:t>
      </w:r>
    </w:p>
    <w:p w14:paraId="4F698C5E">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（1）“特许经营+EPC”模式下收益合规来源、比例分析及案例解析；</w:t>
      </w:r>
    </w:p>
    <w:p w14:paraId="0B9C6AB4">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（2）“特许经营+EPC”模式下市场化融资要点和项目资本金筹集模式；</w:t>
      </w:r>
    </w:p>
    <w:p w14:paraId="1A8AF437">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（3）“特许经营+EPC模式”政府补贴怎么补才合规？</w:t>
      </w:r>
    </w:p>
    <w:p w14:paraId="5A587815">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（4）《办法》发布后企业与地方政府合作采用“特许经营+EPC模式”操作项目的风险防控分析。</w:t>
      </w:r>
    </w:p>
    <w:p w14:paraId="2100C3BB">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4.专项债券模式</w:t>
      </w:r>
      <w:r>
        <w:rPr>
          <w:rFonts w:hint="eastAsia" w:cs="仿宋"/>
          <w:sz w:val="28"/>
          <w:szCs w:val="28"/>
          <w:lang w:val="en-US" w:eastAsia="zh-CN"/>
        </w:rPr>
        <w:t>；</w:t>
      </w:r>
    </w:p>
    <w:p w14:paraId="06F109E1">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（1）本年度专项债投向；</w:t>
      </w:r>
    </w:p>
    <w:p w14:paraId="02795D0C">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（2）专项债申报、发行与使用全流程；</w:t>
      </w:r>
    </w:p>
    <w:p w14:paraId="2C422801">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（3）如何确定专项债资金可以到位？</w:t>
      </w:r>
    </w:p>
    <w:p w14:paraId="0D98AEFB">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5.特许经营类项目争取上级财政资金模式</w:t>
      </w:r>
    </w:p>
    <w:p w14:paraId="3249F4BD">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（1）争取中央政府财政直达资金路径设计；</w:t>
      </w:r>
    </w:p>
    <w:p w14:paraId="422646A2">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（2）争取中央政府转移支付及专项资金路径设计；</w:t>
      </w:r>
    </w:p>
    <w:p w14:paraId="6174130A">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（3）中央预算内投资如何申报并提高申报成功率？</w:t>
      </w:r>
    </w:p>
    <w:p w14:paraId="3433812C">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6.其他特许经营类项目实施模式要点梳理</w:t>
      </w:r>
    </w:p>
    <w:p w14:paraId="4711D0EF">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（1）特许经营类项目+市场化配套融资方式；</w:t>
      </w:r>
    </w:p>
    <w:p w14:paraId="6BD00B65">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（2）特许经营+政策性银行融资方式。</w:t>
      </w:r>
    </w:p>
    <w:p w14:paraId="3C281196">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7.国企/民企如何合法合规、合情合理地开发特许经营项目？</w:t>
      </w:r>
    </w:p>
    <w:p w14:paraId="7A14F9FA">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（1）特许经营项目新型混合所有制合作结构的搭建；</w:t>
      </w:r>
    </w:p>
    <w:p w14:paraId="61E61EB3">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（2）特许经营项目中，国企/民企与地方政府的合作如何精准划分“权责利”？</w:t>
      </w:r>
    </w:p>
    <w:p w14:paraId="0030CA43">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（3）特许经营项目案例实施方案与对地方政府的监督机制精讲。</w:t>
      </w:r>
    </w:p>
    <w:p w14:paraId="64D11311">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案例：</w:t>
      </w:r>
    </w:p>
    <w:p w14:paraId="5D96578D">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1.海南某供水工程特许经营+EPC项目案例</w:t>
      </w:r>
    </w:p>
    <w:p w14:paraId="49EA567E">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2.江苏某市存量污水处理特许经营TOT项目案例</w:t>
      </w:r>
    </w:p>
    <w:p w14:paraId="301E796D">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3.辽宁省某市市政照明特许经营项目案例</w:t>
      </w:r>
    </w:p>
    <w:p w14:paraId="1A4FE4F8">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4.宁夏自治区某市现代农业产业EOD项目案例</w:t>
      </w:r>
    </w:p>
    <w:p w14:paraId="2FE0751A">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kern w:val="2"/>
          <w:sz w:val="28"/>
          <w:szCs w:val="28"/>
          <w:lang w:val="en-US" w:eastAsia="zh-CN" w:bidi="ar-SA"/>
        </w:rPr>
      </w:pPr>
      <w:r>
        <w:rPr>
          <w:rFonts w:hint="eastAsia" w:ascii="仿宋" w:hAnsi="仿宋" w:eastAsia="仿宋" w:cs="仿宋"/>
          <w:b/>
          <w:bCs/>
          <w:kern w:val="2"/>
          <w:sz w:val="28"/>
          <w:szCs w:val="28"/>
          <w:lang w:val="en-US" w:eastAsia="zh-CN" w:bidi="ar-SA"/>
        </w:rPr>
        <w:t>（八）“新规”施行后，特许经营项目资金筹措与风险控制</w:t>
      </w:r>
    </w:p>
    <w:p w14:paraId="759AFE66">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1.特许经营权项目融资实务</w:t>
      </w:r>
      <w:r>
        <w:rPr>
          <w:rFonts w:hint="eastAsia" w:cs="仿宋"/>
          <w:kern w:val="2"/>
          <w:sz w:val="28"/>
          <w:szCs w:val="28"/>
          <w:lang w:val="en-US" w:eastAsia="zh-CN" w:bidi="ar-SA"/>
        </w:rPr>
        <w:t>;</w:t>
      </w:r>
    </w:p>
    <w:p w14:paraId="4237A815">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（1）特许经营权融资与传统融资的区别与要点；</w:t>
      </w:r>
    </w:p>
    <w:p w14:paraId="4FF5D847">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（2）特许经营权项目中的无追索与有限追索；</w:t>
      </w:r>
    </w:p>
    <w:p w14:paraId="59252E5C">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（3）特许经营权融资架构搭建；</w:t>
      </w:r>
    </w:p>
    <w:p w14:paraId="6EFC474E">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（4）特许经营权项目的债权融资与股权融资</w:t>
      </w:r>
    </w:p>
    <w:p w14:paraId="53630B94">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（5）特许经营权项目导入产业基金案例分析；</w:t>
      </w:r>
    </w:p>
    <w:p w14:paraId="4A1950AD">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（6）特许经营项目融资注意点。</w:t>
      </w:r>
    </w:p>
    <w:p w14:paraId="19843A16">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2.运营期特许经营权项目的再融资方法</w:t>
      </w:r>
      <w:r>
        <w:rPr>
          <w:rFonts w:hint="eastAsia" w:cs="仿宋"/>
          <w:kern w:val="2"/>
          <w:sz w:val="28"/>
          <w:szCs w:val="28"/>
          <w:lang w:val="en-US" w:eastAsia="zh-CN" w:bidi="ar-SA"/>
        </w:rPr>
        <w:t>；</w:t>
      </w:r>
    </w:p>
    <w:p w14:paraId="69AEA2DB">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（1）运营期特许经营权项目再融资的概念；</w:t>
      </w:r>
    </w:p>
    <w:p w14:paraId="6C135DE9">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（2）运营期特许经营权项目再融资分类；</w:t>
      </w:r>
    </w:p>
    <w:p w14:paraId="5B08A9F9">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（3）运营期特许经营权再融资的方式及交易结构设计；</w:t>
      </w:r>
    </w:p>
    <w:p w14:paraId="7B83BD82">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（4）运营期特许经营权项目REITs方式再融资实战案例分析；</w:t>
      </w:r>
    </w:p>
    <w:p w14:paraId="5588B604">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3.特许经营类项目风险控制方案详解</w:t>
      </w:r>
      <w:r>
        <w:rPr>
          <w:rFonts w:hint="eastAsia" w:cs="仿宋"/>
          <w:kern w:val="2"/>
          <w:sz w:val="28"/>
          <w:szCs w:val="28"/>
          <w:lang w:val="en-US" w:eastAsia="zh-CN" w:bidi="ar-SA"/>
        </w:rPr>
        <w:t>；</w:t>
      </w:r>
    </w:p>
    <w:p w14:paraId="2435BD33">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（1）特许经营类项目全生命周期风控流程设计；</w:t>
      </w:r>
    </w:p>
    <w:p w14:paraId="0CA63E72">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（2）特许经营类项目的核心风险点防控措施设计；</w:t>
      </w:r>
    </w:p>
    <w:p w14:paraId="14C579CB">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（3）特许经营类项目中的社会资本方、民营企业、设备供应商等风险分配及转移机制；</w:t>
      </w:r>
    </w:p>
    <w:p w14:paraId="0CC4AB39">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（4）特许经营类项目的风险识别、风险指标监测、风险预警与响应；</w:t>
      </w:r>
    </w:p>
    <w:p w14:paraId="3787D70D">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（5）特许经营类项目风险规避策略制定与执行。</w:t>
      </w:r>
    </w:p>
    <w:p w14:paraId="483B0936">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案例：</w:t>
      </w:r>
    </w:p>
    <w:p w14:paraId="6945E623">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1.广东省某新区供水一体化特许经营项目案例</w:t>
      </w:r>
    </w:p>
    <w:p w14:paraId="1159DBB2">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2.浙江省某市停车场特许经营存量+新建（ROT）项目案例</w:t>
      </w:r>
    </w:p>
    <w:p w14:paraId="3F92CE8E">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3.广东省某市文体场馆特许经营项目案例</w:t>
      </w:r>
    </w:p>
    <w:p w14:paraId="474E5F76">
      <w:pPr>
        <w:keepNext w:val="0"/>
        <w:keepLines w:val="0"/>
        <w:pageBreakBefore w:val="0"/>
        <w:widowControl w:val="0"/>
        <w:kinsoku/>
        <w:wordWrap/>
        <w:overflowPunct/>
        <w:topLinePunct w:val="0"/>
        <w:autoSpaceDE/>
        <w:autoSpaceDN/>
        <w:bidi w:val="0"/>
        <w:adjustRightInd/>
        <w:snapToGrid/>
        <w:spacing w:line="380" w:lineRule="exact"/>
        <w:ind w:left="0" w:firstLine="0" w:firstLine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4.甘肃省某市收费公路特许经营项目案例</w:t>
      </w:r>
    </w:p>
    <w:p w14:paraId="257907FE">
      <w:pPr>
        <w:keepNext w:val="0"/>
        <w:keepLines w:val="0"/>
        <w:pageBreakBefore w:val="0"/>
        <w:widowControl w:val="0"/>
        <w:kinsoku/>
        <w:wordWrap/>
        <w:overflowPunct/>
        <w:topLinePunct w:val="0"/>
        <w:autoSpaceDE/>
        <w:autoSpaceDN/>
        <w:bidi w:val="0"/>
        <w:adjustRightInd/>
        <w:spacing w:line="380" w:lineRule="exact"/>
        <w:ind w:left="0" w:firstLine="0" w:firstLineChars="0"/>
        <w:textAlignment w:val="auto"/>
        <w:rPr>
          <w:rFonts w:hint="eastAsia" w:ascii="仿宋" w:hAnsi="仿宋" w:eastAsia="仿宋" w:cs="仿宋"/>
          <w:b/>
          <w:bCs/>
          <w:sz w:val="28"/>
          <w:szCs w:val="28"/>
        </w:rPr>
      </w:pPr>
      <w:r>
        <w:rPr>
          <w:rFonts w:hint="eastAsia" w:cs="仿宋"/>
          <w:b/>
          <w:bCs/>
          <w:sz w:val="28"/>
          <w:szCs w:val="28"/>
          <w:lang w:val="en-US" w:eastAsia="zh-CN"/>
        </w:rPr>
        <w:t>二</w:t>
      </w:r>
      <w:r>
        <w:rPr>
          <w:rFonts w:hint="eastAsia" w:ascii="仿宋" w:hAnsi="仿宋" w:eastAsia="仿宋" w:cs="仿宋"/>
          <w:b/>
          <w:bCs/>
          <w:sz w:val="28"/>
          <w:szCs w:val="28"/>
        </w:rPr>
        <w:t>、授课专家</w:t>
      </w:r>
    </w:p>
    <w:p w14:paraId="17EC3970">
      <w:pPr>
        <w:pStyle w:val="6"/>
        <w:keepNext w:val="0"/>
        <w:keepLines w:val="0"/>
        <w:pageBreakBefore w:val="0"/>
        <w:widowControl w:val="0"/>
        <w:kinsoku/>
        <w:wordWrap/>
        <w:overflowPunct/>
        <w:topLinePunct w:val="0"/>
        <w:autoSpaceDE/>
        <w:autoSpaceDN/>
        <w:bidi w:val="0"/>
        <w:adjustRightInd/>
        <w:spacing w:line="380" w:lineRule="exact"/>
        <w:ind w:left="0" w:firstLine="0" w:firstLineChars="0"/>
        <w:textAlignment w:val="auto"/>
        <w:rPr>
          <w:rFonts w:hint="eastAsia" w:ascii="仿宋" w:hAnsi="仿宋" w:eastAsia="仿宋" w:cs="仿宋"/>
          <w:b w:val="0"/>
          <w:bCs w:val="0"/>
          <w:sz w:val="28"/>
          <w:szCs w:val="28"/>
        </w:rPr>
      </w:pPr>
      <w:r>
        <w:rPr>
          <w:rFonts w:hint="eastAsia" w:ascii="仿宋" w:hAnsi="仿宋" w:eastAsia="仿宋" w:cs="仿宋"/>
          <w:b/>
          <w:bCs/>
          <w:sz w:val="28"/>
          <w:szCs w:val="28"/>
        </w:rPr>
        <w:t>王守清：</w:t>
      </w:r>
      <w:r>
        <w:rPr>
          <w:rFonts w:hint="eastAsia" w:ascii="仿宋" w:hAnsi="仿宋" w:eastAsia="仿宋" w:cs="仿宋"/>
          <w:b w:val="0"/>
          <w:bCs w:val="0"/>
          <w:sz w:val="28"/>
          <w:szCs w:val="28"/>
        </w:rPr>
        <w:t>清华大学投融资政策研究中心（原PPP研究中心）首席专家、全国高校PPP论坛学术委员会主任。一直专注于政企合作（PPP，含特许经营/BOT/ TOT/PFI等）/项目管理/基建投融资的教研与推广，参与相关政策研讨（如特许经营管理办法、PPP新机制）、项目评审和争议解决。2021年获国际项目管理协会（IPMA)“研究终身成就奖”（首位华人），被誉为“中国PPP教父”。</w:t>
      </w:r>
    </w:p>
    <w:p w14:paraId="36EB3D12">
      <w:pPr>
        <w:pStyle w:val="6"/>
        <w:keepNext w:val="0"/>
        <w:keepLines w:val="0"/>
        <w:pageBreakBefore w:val="0"/>
        <w:widowControl w:val="0"/>
        <w:kinsoku/>
        <w:wordWrap/>
        <w:overflowPunct/>
        <w:topLinePunct w:val="0"/>
        <w:autoSpaceDE/>
        <w:autoSpaceDN/>
        <w:bidi w:val="0"/>
        <w:adjustRightInd/>
        <w:spacing w:line="380" w:lineRule="exact"/>
        <w:ind w:left="0" w:firstLine="0" w:firstLineChars="0"/>
        <w:textAlignment w:val="auto"/>
        <w:rPr>
          <w:rFonts w:hint="eastAsia" w:ascii="仿宋" w:hAnsi="仿宋" w:eastAsia="仿宋" w:cs="仿宋"/>
          <w:b w:val="0"/>
          <w:bCs w:val="0"/>
          <w:sz w:val="28"/>
          <w:szCs w:val="28"/>
        </w:rPr>
      </w:pPr>
      <w:r>
        <w:rPr>
          <w:rFonts w:hint="eastAsia" w:ascii="仿宋" w:hAnsi="仿宋" w:eastAsia="仿宋" w:cs="仿宋"/>
          <w:b/>
          <w:bCs/>
          <w:sz w:val="28"/>
          <w:szCs w:val="28"/>
        </w:rPr>
        <w:t>谭</w:t>
      </w:r>
      <w:r>
        <w:rPr>
          <w:rFonts w:hint="eastAsia" w:hAnsi="仿宋" w:cs="仿宋"/>
          <w:b/>
          <w:bCs/>
          <w:sz w:val="28"/>
          <w:szCs w:val="28"/>
          <w:lang w:val="en-US" w:eastAsia="zh-CN"/>
        </w:rPr>
        <w:t>老师</w:t>
      </w:r>
      <w:r>
        <w:rPr>
          <w:rFonts w:hint="eastAsia" w:ascii="仿宋" w:hAnsi="仿宋" w:eastAsia="仿宋" w:cs="仿宋"/>
          <w:b/>
          <w:bCs/>
          <w:sz w:val="28"/>
          <w:szCs w:val="28"/>
        </w:rPr>
        <w:t>：</w:t>
      </w:r>
      <w:r>
        <w:rPr>
          <w:rFonts w:hint="eastAsia" w:hAnsi="仿宋" w:cs="仿宋"/>
          <w:b w:val="0"/>
          <w:bCs w:val="0"/>
          <w:sz w:val="28"/>
          <w:szCs w:val="28"/>
          <w:lang w:val="en-US" w:eastAsia="zh-CN"/>
        </w:rPr>
        <w:t>某大型</w:t>
      </w:r>
      <w:r>
        <w:rPr>
          <w:rFonts w:hint="eastAsia" w:ascii="仿宋" w:hAnsi="仿宋" w:eastAsia="仿宋" w:cs="仿宋"/>
          <w:b w:val="0"/>
          <w:bCs w:val="0"/>
          <w:sz w:val="28"/>
          <w:szCs w:val="28"/>
        </w:rPr>
        <w:t>投资咨询公司副总经理，国家发改委、财政部专家库成员，多个地方政府投融资顾问。在城乡建设投融资、大型基础设施项目投融资、地方城投公司转型等领域具有丰富项目经验，曾为百余个地方政府及相关部门、城投公司等提供投融资、战略研究等。</w:t>
      </w:r>
    </w:p>
    <w:p w14:paraId="459CD04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8"/>
          <w:szCs w:val="28"/>
          <w:lang w:eastAsia="zh-CN"/>
        </w:rPr>
      </w:pPr>
      <w:r>
        <w:rPr>
          <w:rFonts w:hint="eastAsia" w:ascii="仿宋" w:hAnsi="仿宋" w:eastAsia="仿宋" w:cs="仿宋"/>
          <w:b/>
          <w:bCs/>
          <w:kern w:val="2"/>
          <w:sz w:val="28"/>
          <w:szCs w:val="28"/>
          <w:lang w:val="en-US" w:eastAsia="zh-CN" w:bidi="ar-SA"/>
        </w:rPr>
        <w:t>李</w:t>
      </w:r>
      <w:r>
        <w:rPr>
          <w:rFonts w:hint="eastAsia" w:cs="仿宋"/>
          <w:b/>
          <w:bCs/>
          <w:kern w:val="2"/>
          <w:sz w:val="28"/>
          <w:szCs w:val="28"/>
          <w:lang w:val="en-US" w:eastAsia="zh-CN" w:bidi="ar-SA"/>
        </w:rPr>
        <w:t>老师</w:t>
      </w:r>
      <w:r>
        <w:rPr>
          <w:rFonts w:hint="eastAsia" w:ascii="仿宋" w:hAnsi="仿宋" w:eastAsia="仿宋" w:cs="仿宋"/>
          <w:b/>
          <w:bCs/>
          <w:kern w:val="2"/>
          <w:sz w:val="28"/>
          <w:szCs w:val="28"/>
          <w:lang w:val="en-US" w:eastAsia="zh-CN" w:bidi="ar-SA"/>
        </w:rPr>
        <w:t>：</w:t>
      </w:r>
      <w:r>
        <w:rPr>
          <w:rFonts w:hint="eastAsia" w:cs="仿宋"/>
          <w:b w:val="0"/>
          <w:bCs w:val="0"/>
          <w:kern w:val="2"/>
          <w:sz w:val="28"/>
          <w:szCs w:val="28"/>
          <w:lang w:val="en-US" w:eastAsia="zh-CN" w:bidi="ar-SA"/>
        </w:rPr>
        <w:t>某</w:t>
      </w:r>
      <w:r>
        <w:rPr>
          <w:rFonts w:hint="eastAsia" w:cs="仿宋"/>
          <w:b w:val="0"/>
          <w:bCs w:val="0"/>
          <w:sz w:val="28"/>
          <w:szCs w:val="28"/>
          <w:lang w:val="en-US" w:eastAsia="zh-CN"/>
        </w:rPr>
        <w:t>基础设施发展集团</w:t>
      </w:r>
      <w:r>
        <w:rPr>
          <w:rFonts w:hint="eastAsia" w:ascii="仿宋" w:hAnsi="仿宋" w:eastAsia="仿宋" w:cs="仿宋"/>
          <w:b w:val="0"/>
          <w:bCs w:val="0"/>
          <w:sz w:val="28"/>
          <w:szCs w:val="28"/>
          <w:lang w:eastAsia="zh-CN"/>
        </w:rPr>
        <w:t>市场经营部总经理，高级经济师，深耕国内外基础设施投融资案例和政策研究，参与了国内建筑板块第一家上市公司、国内最早开展基础设施投融资企业在全国40多个城市，投资总额近3000亿元的基础设施投融资项目的方案策划、合同谈判、投融资模式研究以及项目投资建设运营管理的全过程管理。为基础设施项目提供投融资、规划、设计、建设、运营一体化的全生命周期解决方案。对大型公路桥梁、城市快速路、轨道交通、越江隧道、机场、地下空间开发、综合枢纽、片区开发、环境整治等项目投融资建设管理经验丰富。</w:t>
      </w:r>
    </w:p>
    <w:p w14:paraId="491888A9">
      <w:pPr>
        <w:keepNext w:val="0"/>
        <w:keepLines w:val="0"/>
        <w:pageBreakBefore w:val="0"/>
        <w:widowControl w:val="0"/>
        <w:kinsoku/>
        <w:wordWrap/>
        <w:overflowPunct/>
        <w:topLinePunct w:val="0"/>
        <w:autoSpaceDE/>
        <w:autoSpaceDN/>
        <w:bidi w:val="0"/>
        <w:adjustRightInd/>
        <w:spacing w:line="380" w:lineRule="exact"/>
        <w:ind w:left="0" w:firstLine="0" w:firstLineChars="0"/>
        <w:textAlignment w:val="auto"/>
        <w:rPr>
          <w:rFonts w:hint="eastAsia" w:ascii="仿宋" w:hAnsi="仿宋" w:eastAsia="仿宋" w:cs="仿宋"/>
          <w:b/>
          <w:bCs/>
          <w:sz w:val="28"/>
          <w:szCs w:val="28"/>
        </w:rPr>
      </w:pPr>
      <w:r>
        <w:rPr>
          <w:rFonts w:hint="eastAsia" w:ascii="仿宋" w:hAnsi="仿宋" w:eastAsia="仿宋" w:cs="仿宋"/>
          <w:b/>
          <w:bCs/>
          <w:sz w:val="28"/>
          <w:szCs w:val="28"/>
        </w:rPr>
        <w:t>三、主要授课对象：</w:t>
      </w:r>
    </w:p>
    <w:p w14:paraId="13745928">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textAlignment w:val="auto"/>
        <w:rPr>
          <w:rFonts w:hint="eastAsia" w:ascii="仿宋" w:hAnsi="仿宋" w:eastAsia="仿宋" w:cs="仿宋"/>
          <w:bCs/>
          <w:sz w:val="28"/>
          <w:szCs w:val="28"/>
        </w:rPr>
      </w:pPr>
      <w:r>
        <w:rPr>
          <w:rFonts w:hint="eastAsia" w:ascii="仿宋" w:hAnsi="仿宋" w:eastAsia="仿宋" w:cs="仿宋"/>
          <w:bCs/>
          <w:sz w:val="28"/>
          <w:szCs w:val="28"/>
        </w:rPr>
        <w:t>政府部门：主管经济、财政、发改、工信、交通、轨道、环保、市政等部门；</w:t>
      </w:r>
    </w:p>
    <w:p w14:paraId="3F7986B9">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textAlignment w:val="auto"/>
        <w:rPr>
          <w:rFonts w:hint="eastAsia" w:ascii="仿宋" w:hAnsi="仿宋" w:eastAsia="仿宋" w:cs="仿宋"/>
          <w:bCs/>
          <w:sz w:val="28"/>
          <w:szCs w:val="28"/>
        </w:rPr>
      </w:pPr>
      <w:r>
        <w:rPr>
          <w:rFonts w:hint="eastAsia" w:ascii="仿宋" w:hAnsi="仿宋" w:eastAsia="仿宋" w:cs="仿宋"/>
          <w:bCs/>
          <w:sz w:val="28"/>
          <w:szCs w:val="28"/>
        </w:rPr>
        <w:t>平台机构：城投、开投、交投、环投、工投、水投、医投等投资平台公司；</w:t>
      </w:r>
    </w:p>
    <w:p w14:paraId="0932E3EC">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textAlignment w:val="auto"/>
        <w:rPr>
          <w:rFonts w:hint="eastAsia" w:ascii="仿宋" w:hAnsi="仿宋" w:eastAsia="仿宋" w:cs="仿宋"/>
          <w:bCs/>
          <w:sz w:val="28"/>
          <w:szCs w:val="28"/>
        </w:rPr>
      </w:pPr>
      <w:r>
        <w:rPr>
          <w:rFonts w:hint="eastAsia" w:ascii="仿宋" w:hAnsi="仿宋" w:eastAsia="仿宋" w:cs="仿宋"/>
          <w:bCs/>
          <w:sz w:val="28"/>
          <w:szCs w:val="28"/>
        </w:rPr>
        <w:t>金融机构：银行、证券、信托、基金、农信、投行、资管、外汇等机构；</w:t>
      </w:r>
    </w:p>
    <w:p w14:paraId="26EE437D">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textAlignment w:val="auto"/>
        <w:rPr>
          <w:rFonts w:hint="eastAsia" w:ascii="仿宋" w:hAnsi="仿宋" w:eastAsia="仿宋" w:cs="仿宋"/>
          <w:bCs/>
          <w:sz w:val="28"/>
          <w:szCs w:val="28"/>
        </w:rPr>
      </w:pPr>
      <w:r>
        <w:rPr>
          <w:rFonts w:hint="eastAsia" w:ascii="仿宋" w:hAnsi="仿宋" w:eastAsia="仿宋" w:cs="仿宋"/>
          <w:bCs/>
          <w:sz w:val="28"/>
          <w:szCs w:val="28"/>
        </w:rPr>
        <w:t>业主单位：市政、基建、医院、学校、机场、车站、港口、园区等单位；</w:t>
      </w:r>
    </w:p>
    <w:p w14:paraId="2EFE3C15">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textAlignment w:val="auto"/>
        <w:rPr>
          <w:rFonts w:hint="eastAsia" w:ascii="仿宋" w:hAnsi="仿宋" w:eastAsia="仿宋" w:cs="仿宋"/>
          <w:bCs/>
          <w:sz w:val="28"/>
          <w:szCs w:val="28"/>
        </w:rPr>
      </w:pPr>
      <w:r>
        <w:rPr>
          <w:rFonts w:hint="eastAsia" w:ascii="仿宋" w:hAnsi="仿宋" w:eastAsia="仿宋" w:cs="仿宋"/>
          <w:bCs/>
          <w:sz w:val="28"/>
          <w:szCs w:val="28"/>
        </w:rPr>
        <w:t>建设单位：土木、水利、建筑、化工、电子、机械、能源、央国企等</w:t>
      </w:r>
    </w:p>
    <w:p w14:paraId="6A834DEE">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0" w:firstLineChars="0"/>
        <w:textAlignment w:val="auto"/>
        <w:rPr>
          <w:rFonts w:hint="eastAsia" w:ascii="仿宋" w:hAnsi="仿宋" w:eastAsia="仿宋" w:cs="仿宋"/>
          <w:b/>
          <w:bCs/>
          <w:sz w:val="28"/>
          <w:szCs w:val="28"/>
        </w:rPr>
      </w:pPr>
      <w:r>
        <w:rPr>
          <w:rFonts w:hint="eastAsia" w:ascii="仿宋" w:hAnsi="仿宋" w:eastAsia="仿宋" w:cs="仿宋"/>
          <w:bCs/>
          <w:sz w:val="28"/>
          <w:szCs w:val="28"/>
        </w:rPr>
        <w:t>专业机构：全过程工程咨询、设备、材料、消防等，律师、审计等专业人士。</w:t>
      </w:r>
      <w:r>
        <w:rPr>
          <w:rFonts w:hint="eastAsia" w:cs="仿宋"/>
          <w:b/>
          <w:bCs w:val="0"/>
          <w:sz w:val="28"/>
          <w:szCs w:val="28"/>
          <w:lang w:val="en-US" w:eastAsia="zh-CN"/>
        </w:rPr>
        <w:t>四、</w:t>
      </w:r>
      <w:r>
        <w:rPr>
          <w:rFonts w:hint="eastAsia" w:ascii="仿宋" w:hAnsi="仿宋" w:eastAsia="仿宋" w:cs="仿宋"/>
          <w:b/>
          <w:bCs w:val="0"/>
          <w:sz w:val="28"/>
          <w:szCs w:val="28"/>
        </w:rPr>
        <w:t>时间及地点</w:t>
      </w:r>
    </w:p>
    <w:p w14:paraId="6A7EC7FF">
      <w:pPr>
        <w:keepNext w:val="0"/>
        <w:keepLines w:val="0"/>
        <w:pageBreakBefore w:val="0"/>
        <w:widowControl w:val="0"/>
        <w:kinsoku/>
        <w:wordWrap/>
        <w:overflowPunct/>
        <w:topLinePunct w:val="0"/>
        <w:autoSpaceDE/>
        <w:autoSpaceDN/>
        <w:bidi w:val="0"/>
        <w:adjustRightInd/>
        <w:snapToGrid w:val="0"/>
        <w:spacing w:line="380" w:lineRule="exact"/>
        <w:ind w:left="0" w:leftChars="0" w:firstLine="280" w:firstLineChars="100"/>
        <w:textAlignment w:val="auto"/>
        <w:rPr>
          <w:rFonts w:hint="eastAsia" w:ascii="仿宋" w:hAnsi="仿宋" w:eastAsia="仿宋" w:cs="仿宋"/>
          <w:bCs/>
          <w:sz w:val="28"/>
          <w:szCs w:val="28"/>
        </w:rPr>
      </w:pPr>
      <w:r>
        <w:rPr>
          <w:rFonts w:hint="eastAsia" w:ascii="仿宋" w:hAnsi="仿宋" w:eastAsia="仿宋" w:cs="仿宋"/>
          <w:bCs/>
          <w:sz w:val="28"/>
          <w:szCs w:val="28"/>
        </w:rPr>
        <w:t>2024年0</w:t>
      </w:r>
      <w:r>
        <w:rPr>
          <w:rFonts w:hint="eastAsia" w:cs="仿宋"/>
          <w:bCs/>
          <w:sz w:val="28"/>
          <w:szCs w:val="28"/>
          <w:lang w:val="en-US" w:eastAsia="zh-CN"/>
        </w:rPr>
        <w:t>8</w:t>
      </w:r>
      <w:r>
        <w:rPr>
          <w:rFonts w:hint="eastAsia" w:ascii="仿宋" w:hAnsi="仿宋" w:eastAsia="仿宋" w:cs="仿宋"/>
          <w:bCs/>
          <w:sz w:val="28"/>
          <w:szCs w:val="28"/>
        </w:rPr>
        <w:t>月2</w:t>
      </w:r>
      <w:r>
        <w:rPr>
          <w:rFonts w:hint="eastAsia" w:cs="仿宋"/>
          <w:bCs/>
          <w:sz w:val="28"/>
          <w:szCs w:val="28"/>
          <w:lang w:val="en-US" w:eastAsia="zh-CN"/>
        </w:rPr>
        <w:t>8</w:t>
      </w:r>
      <w:r>
        <w:rPr>
          <w:rFonts w:hint="eastAsia" w:ascii="仿宋" w:hAnsi="仿宋" w:eastAsia="仿宋" w:cs="仿宋"/>
          <w:bCs/>
          <w:sz w:val="28"/>
          <w:szCs w:val="28"/>
        </w:rPr>
        <w:t xml:space="preserve">日— </w:t>
      </w:r>
      <w:r>
        <w:rPr>
          <w:rFonts w:hint="eastAsia" w:cs="仿宋"/>
          <w:bCs/>
          <w:sz w:val="28"/>
          <w:szCs w:val="28"/>
          <w:lang w:val="en-US" w:eastAsia="zh-CN"/>
        </w:rPr>
        <w:t>31</w:t>
      </w:r>
      <w:r>
        <w:rPr>
          <w:rFonts w:hint="eastAsia" w:ascii="仿宋" w:hAnsi="仿宋" w:eastAsia="仿宋" w:cs="仿宋"/>
          <w:bCs/>
          <w:sz w:val="28"/>
          <w:szCs w:val="28"/>
        </w:rPr>
        <w:t>日（</w:t>
      </w:r>
      <w:r>
        <w:rPr>
          <w:rFonts w:hint="eastAsia" w:cs="仿宋"/>
          <w:bCs/>
          <w:sz w:val="28"/>
          <w:szCs w:val="28"/>
          <w:lang w:val="en-US" w:eastAsia="zh-CN"/>
        </w:rPr>
        <w:t>28</w:t>
      </w:r>
      <w:r>
        <w:rPr>
          <w:rFonts w:hint="eastAsia" w:ascii="仿宋" w:hAnsi="仿宋" w:eastAsia="仿宋" w:cs="仿宋"/>
          <w:bCs/>
          <w:sz w:val="28"/>
          <w:szCs w:val="28"/>
        </w:rPr>
        <w:t xml:space="preserve">日报到） </w:t>
      </w:r>
      <w:r>
        <w:rPr>
          <w:rFonts w:hint="eastAsia" w:cs="仿宋"/>
          <w:bCs/>
          <w:sz w:val="28"/>
          <w:szCs w:val="28"/>
          <w:lang w:val="en-US" w:eastAsia="zh-CN"/>
        </w:rPr>
        <w:t>北京</w:t>
      </w:r>
      <w:r>
        <w:rPr>
          <w:rFonts w:hint="eastAsia" w:ascii="仿宋" w:hAnsi="仿宋" w:eastAsia="仿宋" w:cs="仿宋"/>
          <w:bCs/>
          <w:sz w:val="28"/>
          <w:szCs w:val="28"/>
        </w:rPr>
        <w:t>市</w:t>
      </w:r>
    </w:p>
    <w:p w14:paraId="0E5EE967">
      <w:pPr>
        <w:keepNext w:val="0"/>
        <w:keepLines w:val="0"/>
        <w:pageBreakBefore w:val="0"/>
        <w:widowControl w:val="0"/>
        <w:kinsoku/>
        <w:wordWrap/>
        <w:overflowPunct/>
        <w:topLinePunct w:val="0"/>
        <w:autoSpaceDE/>
        <w:autoSpaceDN/>
        <w:bidi w:val="0"/>
        <w:adjustRightInd/>
        <w:snapToGrid w:val="0"/>
        <w:spacing w:line="380" w:lineRule="exact"/>
        <w:ind w:left="0" w:firstLine="0" w:firstLineChars="0"/>
        <w:textAlignment w:val="auto"/>
        <w:rPr>
          <w:rFonts w:hint="eastAsia" w:ascii="仿宋" w:hAnsi="仿宋" w:eastAsia="仿宋" w:cs="仿宋"/>
          <w:b w:val="0"/>
          <w:bCs/>
          <w:color w:val="auto"/>
          <w:kern w:val="2"/>
          <w:sz w:val="28"/>
          <w:szCs w:val="28"/>
          <w:lang w:val="en-US" w:eastAsia="zh-CN" w:bidi="ar-SA"/>
        </w:rPr>
      </w:pPr>
      <w:r>
        <w:rPr>
          <w:rFonts w:hint="eastAsia" w:ascii="仿宋" w:hAnsi="仿宋" w:eastAsia="仿宋" w:cs="仿宋"/>
          <w:b/>
          <w:bCs/>
          <w:kern w:val="2"/>
          <w:sz w:val="28"/>
          <w:szCs w:val="28"/>
          <w:lang w:val="en-US" w:eastAsia="zh-CN" w:bidi="ar-SA"/>
        </w:rPr>
        <w:t>五、培训费用</w:t>
      </w:r>
      <w:r>
        <w:rPr>
          <w:rFonts w:hint="eastAsia" w:ascii="仿宋" w:hAnsi="仿宋" w:eastAsia="仿宋" w:cs="仿宋"/>
          <w:b w:val="0"/>
          <w:bCs/>
          <w:color w:val="auto"/>
          <w:kern w:val="2"/>
          <w:sz w:val="28"/>
          <w:szCs w:val="28"/>
          <w:lang w:val="en-US" w:eastAsia="zh-CN" w:bidi="ar-SA"/>
        </w:rPr>
        <w:tab/>
      </w:r>
    </w:p>
    <w:p w14:paraId="068B56AB">
      <w:pPr>
        <w:keepNext w:val="0"/>
        <w:keepLines w:val="0"/>
        <w:pageBreakBefore w:val="0"/>
        <w:widowControl w:val="0"/>
        <w:kinsoku/>
        <w:wordWrap/>
        <w:overflowPunct/>
        <w:topLinePunct w:val="0"/>
        <w:autoSpaceDE/>
        <w:autoSpaceDN/>
        <w:bidi w:val="0"/>
        <w:adjustRightInd/>
        <w:snapToGrid w:val="0"/>
        <w:spacing w:line="380" w:lineRule="exact"/>
        <w:ind w:left="280" w:leftChars="100" w:firstLine="0" w:firstLineChars="0"/>
        <w:textAlignment w:val="auto"/>
        <w:rPr>
          <w:rFonts w:hint="eastAsia" w:ascii="仿宋" w:hAnsi="仿宋" w:eastAsia="仿宋" w:cs="仿宋"/>
          <w:b w:val="0"/>
          <w:bCs/>
          <w:color w:val="auto"/>
          <w:kern w:val="2"/>
          <w:sz w:val="28"/>
          <w:szCs w:val="28"/>
          <w:lang w:val="en-US" w:eastAsia="zh-CN" w:bidi="ar-SA"/>
        </w:rPr>
      </w:pPr>
      <w:r>
        <w:rPr>
          <w:rFonts w:hint="eastAsia" w:ascii="仿宋" w:hAnsi="仿宋" w:eastAsia="仿宋" w:cs="仿宋"/>
          <w:b w:val="0"/>
          <w:bCs/>
          <w:color w:val="auto"/>
          <w:kern w:val="2"/>
          <w:sz w:val="28"/>
          <w:szCs w:val="28"/>
          <w:lang w:val="en-US" w:eastAsia="zh-CN" w:bidi="ar-SA"/>
        </w:rPr>
        <w:t>培训费：3800元/人（费用含会务费、资料费、午餐费）</w:t>
      </w:r>
    </w:p>
    <w:p w14:paraId="5A864E3A">
      <w:pPr>
        <w:keepNext w:val="0"/>
        <w:keepLines w:val="0"/>
        <w:pageBreakBefore w:val="0"/>
        <w:widowControl w:val="0"/>
        <w:kinsoku/>
        <w:wordWrap/>
        <w:overflowPunct/>
        <w:topLinePunct w:val="0"/>
        <w:autoSpaceDE/>
        <w:autoSpaceDN/>
        <w:bidi w:val="0"/>
        <w:adjustRightInd/>
        <w:snapToGrid w:val="0"/>
        <w:spacing w:line="380" w:lineRule="exact"/>
        <w:ind w:left="280" w:leftChars="100" w:firstLine="0" w:firstLineChars="0"/>
        <w:textAlignment w:val="auto"/>
        <w:rPr>
          <w:rFonts w:hint="eastAsia" w:ascii="仿宋" w:hAnsi="仿宋" w:eastAsia="仿宋" w:cs="仿宋"/>
          <w:b w:val="0"/>
          <w:bCs/>
          <w:color w:val="auto"/>
          <w:kern w:val="2"/>
          <w:sz w:val="28"/>
          <w:szCs w:val="28"/>
          <w:lang w:val="en-US" w:eastAsia="zh-CN" w:bidi="ar-SA"/>
        </w:rPr>
      </w:pPr>
      <w:r>
        <w:rPr>
          <w:rFonts w:hint="eastAsia" w:ascii="仿宋" w:hAnsi="仿宋" w:eastAsia="仿宋" w:cs="仿宋"/>
          <w:b w:val="0"/>
          <w:bCs/>
          <w:color w:val="auto"/>
          <w:kern w:val="2"/>
          <w:sz w:val="28"/>
          <w:szCs w:val="28"/>
          <w:lang w:val="en-US" w:eastAsia="zh-CN" w:bidi="ar-SA"/>
        </w:rPr>
        <w:t>培训期满：由中国投资协会培训中心颁发结业证书。</w:t>
      </w:r>
    </w:p>
    <w:p w14:paraId="401701E5">
      <w:pPr>
        <w:keepNext w:val="0"/>
        <w:keepLines w:val="0"/>
        <w:pageBreakBefore w:val="0"/>
        <w:widowControl w:val="0"/>
        <w:kinsoku/>
        <w:wordWrap/>
        <w:overflowPunct/>
        <w:topLinePunct w:val="0"/>
        <w:autoSpaceDE/>
        <w:autoSpaceDN/>
        <w:bidi w:val="0"/>
        <w:adjustRightInd/>
        <w:snapToGrid w:val="0"/>
        <w:spacing w:line="380" w:lineRule="exact"/>
        <w:ind w:left="0" w:firstLine="0" w:firstLineChars="0"/>
        <w:textAlignment w:val="auto"/>
        <w:rPr>
          <w:rFonts w:hint="eastAsia" w:ascii="仿宋" w:hAnsi="仿宋" w:eastAsia="仿宋" w:cs="仿宋"/>
          <w:b/>
          <w:bCs/>
          <w:sz w:val="28"/>
          <w:szCs w:val="28"/>
        </w:rPr>
      </w:pPr>
      <w:r>
        <w:rPr>
          <w:rFonts w:hint="eastAsia" w:ascii="仿宋" w:hAnsi="仿宋" w:eastAsia="仿宋" w:cs="仿宋"/>
          <w:b/>
          <w:bCs/>
          <w:sz w:val="28"/>
          <w:szCs w:val="28"/>
          <w:lang w:eastAsia="zh-CN"/>
        </w:rPr>
        <w:t>六</w:t>
      </w:r>
      <w:r>
        <w:rPr>
          <w:rFonts w:hint="eastAsia" w:ascii="仿宋" w:hAnsi="仿宋" w:eastAsia="仿宋" w:cs="仿宋"/>
          <w:b/>
          <w:bCs/>
          <w:sz w:val="28"/>
          <w:szCs w:val="28"/>
        </w:rPr>
        <w:t>、报名办法及联系方式</w:t>
      </w:r>
    </w:p>
    <w:p w14:paraId="586DE5BE">
      <w:pPr>
        <w:keepNext w:val="0"/>
        <w:keepLines w:val="0"/>
        <w:pageBreakBefore w:val="0"/>
        <w:widowControl w:val="0"/>
        <w:kinsoku/>
        <w:wordWrap/>
        <w:overflowPunct/>
        <w:topLinePunct w:val="0"/>
        <w:autoSpaceDE/>
        <w:autoSpaceDN/>
        <w:bidi w:val="0"/>
        <w:adjustRightInd/>
        <w:snapToGrid w:val="0"/>
        <w:spacing w:line="380" w:lineRule="exact"/>
        <w:ind w:left="0" w:firstLine="0" w:firstLineChars="0"/>
        <w:textAlignment w:val="auto"/>
        <w:rPr>
          <w:rFonts w:hint="eastAsia" w:ascii="仿宋" w:hAnsi="仿宋" w:eastAsia="仿宋" w:cs="仿宋"/>
          <w:bCs/>
          <w:sz w:val="28"/>
          <w:szCs w:val="28"/>
        </w:rPr>
      </w:pPr>
      <w:r>
        <w:rPr>
          <w:rFonts w:hint="eastAsia" w:ascii="仿宋" w:hAnsi="仿宋" w:eastAsia="仿宋" w:cs="仿宋"/>
          <w:bCs/>
          <w:sz w:val="28"/>
          <w:szCs w:val="28"/>
        </w:rPr>
        <w:t>请参加培训班同志认真填写报名回执表</w:t>
      </w:r>
      <w:r>
        <w:rPr>
          <w:rFonts w:hint="eastAsia" w:ascii="仿宋" w:hAnsi="仿宋" w:eastAsia="仿宋" w:cs="仿宋"/>
          <w:bCs/>
          <w:sz w:val="28"/>
          <w:szCs w:val="28"/>
          <w:lang w:eastAsia="zh-CN"/>
        </w:rPr>
        <w:t>，</w:t>
      </w:r>
      <w:r>
        <w:rPr>
          <w:rFonts w:hint="eastAsia" w:ascii="仿宋" w:hAnsi="仿宋" w:eastAsia="仿宋" w:cs="仿宋"/>
          <w:bCs/>
          <w:sz w:val="28"/>
          <w:szCs w:val="28"/>
        </w:rPr>
        <w:t>通过传真或电子邮件发至会务组。</w:t>
      </w:r>
    </w:p>
    <w:p w14:paraId="654732BD">
      <w:pPr>
        <w:keepNext w:val="0"/>
        <w:keepLines w:val="0"/>
        <w:pageBreakBefore w:val="0"/>
        <w:widowControl w:val="0"/>
        <w:kinsoku/>
        <w:wordWrap/>
        <w:overflowPunct/>
        <w:topLinePunct w:val="0"/>
        <w:autoSpaceDE/>
        <w:autoSpaceDN/>
        <w:bidi w:val="0"/>
        <w:adjustRightInd/>
        <w:snapToGrid w:val="0"/>
        <w:spacing w:line="380" w:lineRule="exact"/>
        <w:ind w:left="0" w:firstLine="0" w:firstLineChars="0"/>
        <w:textAlignment w:val="auto"/>
        <w:rPr>
          <w:rFonts w:hint="eastAsia" w:cs="仿宋"/>
          <w:bCs/>
          <w:sz w:val="28"/>
          <w:szCs w:val="28"/>
          <w:lang w:val="en-US" w:eastAsia="zh-CN"/>
        </w:rPr>
      </w:pPr>
      <w:permStart w:id="0" w:edGrp="everyone"/>
      <w:r>
        <w:rPr>
          <w:rFonts w:hint="eastAsia" w:ascii="仿宋" w:hAnsi="仿宋" w:eastAsia="仿宋" w:cs="仿宋"/>
          <w:bCs/>
          <w:sz w:val="28"/>
          <w:szCs w:val="28"/>
        </w:rPr>
        <w:t>联 系 人：</w:t>
      </w:r>
      <w:r>
        <w:rPr>
          <w:rFonts w:hint="eastAsia"/>
        </w:rPr>
        <w:t>聂红军</w:t>
      </w:r>
    </w:p>
    <w:p w14:paraId="3F23293B">
      <w:pPr>
        <w:keepNext w:val="0"/>
        <w:keepLines w:val="0"/>
        <w:pageBreakBefore w:val="0"/>
        <w:widowControl w:val="0"/>
        <w:kinsoku/>
        <w:wordWrap/>
        <w:overflowPunct/>
        <w:topLinePunct w:val="0"/>
        <w:autoSpaceDE/>
        <w:autoSpaceDN/>
        <w:bidi w:val="0"/>
        <w:adjustRightInd/>
        <w:snapToGrid w:val="0"/>
        <w:spacing w:line="380" w:lineRule="exact"/>
        <w:ind w:left="0" w:firstLine="0" w:firstLineChars="0"/>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rPr>
        <w:t>联系电话：</w:t>
      </w:r>
      <w:r>
        <w:rPr>
          <w:rFonts w:hint="eastAsia"/>
        </w:rPr>
        <w:t>18211071700</w:t>
      </w:r>
      <w:r>
        <w:rPr>
          <w:rFonts w:hint="eastAsia" w:cs="仿宋"/>
          <w:bCs/>
          <w:sz w:val="28"/>
          <w:szCs w:val="28"/>
          <w:lang w:val="en-US" w:eastAsia="zh-CN"/>
        </w:rPr>
        <w:t>（微信）</w:t>
      </w:r>
      <w:r>
        <w:rPr>
          <w:rFonts w:hint="eastAsia"/>
        </w:rPr>
        <w:t>13141289128</w:t>
      </w:r>
    </w:p>
    <w:p w14:paraId="4F9BD278">
      <w:pPr>
        <w:keepNext w:val="0"/>
        <w:keepLines w:val="0"/>
        <w:pageBreakBefore w:val="0"/>
        <w:widowControl w:val="0"/>
        <w:kinsoku/>
        <w:wordWrap/>
        <w:overflowPunct/>
        <w:topLinePunct w:val="0"/>
        <w:autoSpaceDE/>
        <w:autoSpaceDN/>
        <w:bidi w:val="0"/>
        <w:adjustRightInd/>
        <w:snapToGrid w:val="0"/>
        <w:spacing w:line="380" w:lineRule="exact"/>
        <w:ind w:left="0" w:firstLine="0" w:firstLineChars="0"/>
        <w:textAlignment w:val="auto"/>
        <w:rPr>
          <w:rFonts w:hint="default" w:ascii="仿宋" w:hAnsi="仿宋" w:eastAsia="仿宋" w:cs="仿宋"/>
          <w:bCs/>
          <w:sz w:val="28"/>
          <w:szCs w:val="28"/>
          <w:lang w:val="en-US" w:eastAsia="zh-CN"/>
        </w:rPr>
      </w:pPr>
      <w:r>
        <w:rPr>
          <w:rFonts w:hint="eastAsia" w:ascii="仿宋" w:hAnsi="仿宋" w:eastAsia="仿宋" w:cs="仿宋"/>
          <w:bCs/>
          <w:sz w:val="28"/>
          <w:szCs w:val="28"/>
        </w:rPr>
        <w:t>邮    箱：</w:t>
      </w:r>
      <w:r>
        <w:rPr>
          <w:rFonts w:hint="eastAsia"/>
        </w:rPr>
        <w:t>470882753</w:t>
      </w:r>
      <w:r>
        <w:rPr>
          <w:rFonts w:hint="eastAsia" w:cs="仿宋"/>
          <w:bCs/>
          <w:sz w:val="28"/>
          <w:szCs w:val="28"/>
          <w:lang w:val="en-US" w:eastAsia="zh-CN"/>
        </w:rPr>
        <w:t>@qq.com</w:t>
      </w:r>
    </w:p>
    <w:permEnd w:id="0"/>
    <w:p w14:paraId="399874F0">
      <w:pPr>
        <w:keepNext w:val="0"/>
        <w:keepLines w:val="0"/>
        <w:pageBreakBefore w:val="0"/>
        <w:widowControl w:val="0"/>
        <w:kinsoku/>
        <w:wordWrap/>
        <w:overflowPunct/>
        <w:topLinePunct w:val="0"/>
        <w:autoSpaceDE/>
        <w:autoSpaceDN/>
        <w:bidi w:val="0"/>
        <w:adjustRightInd/>
        <w:snapToGrid w:val="0"/>
        <w:spacing w:line="380" w:lineRule="exact"/>
        <w:ind w:left="0" w:firstLine="0" w:firstLineChars="0"/>
        <w:textAlignment w:val="auto"/>
        <w:rPr>
          <w:rFonts w:hint="eastAsia" w:ascii="仿宋" w:hAnsi="仿宋" w:eastAsia="仿宋" w:cs="仿宋"/>
          <w:bCs/>
          <w:sz w:val="28"/>
          <w:szCs w:val="28"/>
        </w:rPr>
      </w:pPr>
      <w:r>
        <w:drawing>
          <wp:anchor distT="0" distB="0" distL="114300" distR="114300" simplePos="0" relativeHeight="251659264" behindDoc="1" locked="0" layoutInCell="1" allowOverlap="1">
            <wp:simplePos x="0" y="0"/>
            <wp:positionH relativeFrom="column">
              <wp:posOffset>3810635</wp:posOffset>
            </wp:positionH>
            <wp:positionV relativeFrom="paragraph">
              <wp:posOffset>60960</wp:posOffset>
            </wp:positionV>
            <wp:extent cx="1565275" cy="1536700"/>
            <wp:effectExtent l="0" t="0" r="15875"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565275" cy="1536700"/>
                    </a:xfrm>
                    <a:prstGeom prst="rect">
                      <a:avLst/>
                    </a:prstGeom>
                    <a:noFill/>
                    <a:ln>
                      <a:noFill/>
                    </a:ln>
                  </pic:spPr>
                </pic:pic>
              </a:graphicData>
            </a:graphic>
          </wp:anchor>
        </w:drawing>
      </w:r>
      <w:r>
        <w:rPr>
          <w:rFonts w:hint="eastAsia" w:ascii="仿宋" w:hAnsi="仿宋" w:eastAsia="仿宋" w:cs="仿宋"/>
          <w:color w:val="000000"/>
          <w:kern w:val="0"/>
          <w:sz w:val="28"/>
          <w:szCs w:val="28"/>
        </w:rPr>
        <w:t>培训中心监督电话:010-63361773     许桂荣</w:t>
      </w:r>
    </w:p>
    <w:p w14:paraId="5BAB0AA0">
      <w:pPr>
        <w:keepNext w:val="0"/>
        <w:keepLines w:val="0"/>
        <w:pageBreakBefore w:val="0"/>
        <w:widowControl w:val="0"/>
        <w:kinsoku/>
        <w:wordWrap/>
        <w:overflowPunct/>
        <w:topLinePunct w:val="0"/>
        <w:autoSpaceDE/>
        <w:autoSpaceDN/>
        <w:bidi w:val="0"/>
        <w:adjustRightInd/>
        <w:snapToGrid w:val="0"/>
        <w:spacing w:line="380" w:lineRule="exact"/>
        <w:ind w:left="0" w:firstLine="0" w:firstLineChars="0"/>
        <w:textAlignment w:val="auto"/>
        <w:rPr>
          <w:rFonts w:hint="eastAsia" w:ascii="仿宋" w:hAnsi="仿宋" w:eastAsia="仿宋" w:cs="仿宋"/>
          <w:bCs/>
          <w:sz w:val="28"/>
          <w:szCs w:val="28"/>
        </w:rPr>
      </w:pPr>
      <w:r>
        <w:rPr>
          <w:rFonts w:hint="eastAsia" w:ascii="仿宋" w:hAnsi="仿宋" w:eastAsia="仿宋" w:cs="仿宋"/>
          <w:bCs/>
          <w:sz w:val="28"/>
          <w:szCs w:val="28"/>
        </w:rPr>
        <w:t>通讯地址：北京市复兴路2号院A座</w:t>
      </w:r>
    </w:p>
    <w:p w14:paraId="7A3812A7">
      <w:pPr>
        <w:keepNext w:val="0"/>
        <w:keepLines w:val="0"/>
        <w:pageBreakBefore w:val="0"/>
        <w:widowControl w:val="0"/>
        <w:kinsoku/>
        <w:wordWrap/>
        <w:overflowPunct/>
        <w:topLinePunct w:val="0"/>
        <w:autoSpaceDE/>
        <w:autoSpaceDN/>
        <w:bidi w:val="0"/>
        <w:adjustRightInd/>
        <w:snapToGrid w:val="0"/>
        <w:spacing w:line="380" w:lineRule="exact"/>
        <w:ind w:left="0" w:firstLine="0" w:firstLineChars="0"/>
        <w:textAlignment w:val="auto"/>
        <w:rPr>
          <w:rFonts w:hint="eastAsia" w:ascii="仿宋" w:hAnsi="仿宋" w:eastAsia="仿宋" w:cs="仿宋"/>
          <w:bCs/>
          <w:sz w:val="28"/>
          <w:szCs w:val="28"/>
        </w:rPr>
      </w:pPr>
      <w:r>
        <w:rPr>
          <w:rFonts w:hint="eastAsia" w:ascii="仿宋" w:hAnsi="仿宋" w:eastAsia="仿宋" w:cs="仿宋"/>
          <w:bCs/>
          <w:sz w:val="28"/>
          <w:szCs w:val="28"/>
        </w:rPr>
        <w:t xml:space="preserve">邮政编码：100038    </w:t>
      </w:r>
    </w:p>
    <w:p w14:paraId="768F03D8">
      <w:pPr>
        <w:keepNext w:val="0"/>
        <w:keepLines w:val="0"/>
        <w:pageBreakBefore w:val="0"/>
        <w:widowControl w:val="0"/>
        <w:kinsoku/>
        <w:wordWrap/>
        <w:overflowPunct/>
        <w:topLinePunct w:val="0"/>
        <w:autoSpaceDE/>
        <w:autoSpaceDN/>
        <w:bidi w:val="0"/>
        <w:adjustRightInd/>
        <w:snapToGrid w:val="0"/>
        <w:spacing w:line="380" w:lineRule="exact"/>
        <w:ind w:left="0" w:firstLine="0" w:firstLineChars="0"/>
        <w:textAlignment w:val="auto"/>
        <w:rPr>
          <w:rFonts w:hint="eastAsia" w:ascii="仿宋" w:hAnsi="仿宋" w:eastAsia="仿宋" w:cs="仿宋"/>
          <w:bCs/>
          <w:sz w:val="28"/>
          <w:szCs w:val="28"/>
        </w:rPr>
      </w:pPr>
      <w:r>
        <w:rPr>
          <w:rFonts w:hint="eastAsia" w:ascii="仿宋" w:hAnsi="仿宋" w:eastAsia="仿宋" w:cs="仿宋"/>
          <w:bCs/>
          <w:sz w:val="28"/>
          <w:szCs w:val="28"/>
        </w:rPr>
        <w:t>附件：报名回执表</w:t>
      </w:r>
      <w:r>
        <w:rPr>
          <w:rFonts w:hint="eastAsia" w:cs="仿宋"/>
          <w:bCs/>
          <w:sz w:val="28"/>
          <w:szCs w:val="28"/>
          <w:lang w:val="en-US" w:eastAsia="zh-CN"/>
        </w:rPr>
        <w:t xml:space="preserve">                           </w:t>
      </w:r>
      <w:r>
        <w:rPr>
          <w:rFonts w:hint="eastAsia" w:ascii="仿宋" w:hAnsi="仿宋" w:eastAsia="仿宋" w:cs="仿宋"/>
          <w:bCs/>
          <w:sz w:val="28"/>
          <w:szCs w:val="28"/>
        </w:rPr>
        <w:t>中国投资协会培训中心</w:t>
      </w:r>
    </w:p>
    <w:p w14:paraId="7C6FE2F7">
      <w:pPr>
        <w:keepNext w:val="0"/>
        <w:keepLines w:val="0"/>
        <w:pageBreakBefore w:val="0"/>
        <w:widowControl w:val="0"/>
        <w:kinsoku/>
        <w:wordWrap/>
        <w:overflowPunct/>
        <w:topLinePunct w:val="0"/>
        <w:autoSpaceDE/>
        <w:autoSpaceDN/>
        <w:bidi w:val="0"/>
        <w:adjustRightInd/>
        <w:snapToGrid w:val="0"/>
        <w:spacing w:line="380" w:lineRule="exact"/>
        <w:ind w:firstLine="6440" w:firstLineChars="2300"/>
        <w:textAlignment w:val="auto"/>
        <w:rPr>
          <w:rFonts w:hint="eastAsia" w:ascii="仿宋" w:hAnsi="仿宋" w:eastAsia="仿宋" w:cs="仿宋"/>
          <w:bCs/>
          <w:sz w:val="28"/>
          <w:szCs w:val="28"/>
        </w:rPr>
      </w:pPr>
      <w:r>
        <w:rPr>
          <w:rFonts w:hint="eastAsia" w:ascii="仿宋" w:hAnsi="仿宋" w:eastAsia="仿宋" w:cs="仿宋"/>
          <w:bCs/>
          <w:sz w:val="28"/>
          <w:szCs w:val="28"/>
        </w:rPr>
        <w:t>2024年</w:t>
      </w:r>
      <w:r>
        <w:rPr>
          <w:rFonts w:hint="eastAsia" w:cs="仿宋"/>
          <w:bCs/>
          <w:sz w:val="28"/>
          <w:szCs w:val="28"/>
          <w:lang w:val="en-US" w:eastAsia="zh-CN"/>
        </w:rPr>
        <w:t>7</w:t>
      </w:r>
      <w:r>
        <w:rPr>
          <w:rFonts w:hint="eastAsia" w:ascii="仿宋" w:hAnsi="仿宋" w:eastAsia="仿宋" w:cs="仿宋"/>
          <w:bCs/>
          <w:sz w:val="28"/>
          <w:szCs w:val="28"/>
        </w:rPr>
        <w:t>月</w:t>
      </w:r>
      <w:r>
        <w:rPr>
          <w:rFonts w:hint="eastAsia" w:cs="仿宋"/>
          <w:bCs/>
          <w:sz w:val="28"/>
          <w:szCs w:val="28"/>
          <w:lang w:val="en-US" w:eastAsia="zh-CN"/>
        </w:rPr>
        <w:t>19</w:t>
      </w:r>
      <w:r>
        <w:rPr>
          <w:rFonts w:hint="eastAsia" w:ascii="仿宋" w:hAnsi="仿宋" w:eastAsia="仿宋" w:cs="仿宋"/>
          <w:bCs/>
          <w:sz w:val="28"/>
          <w:szCs w:val="28"/>
        </w:rPr>
        <w:t>日</w:t>
      </w:r>
    </w:p>
    <w:p w14:paraId="2B185971">
      <w:pPr>
        <w:kinsoku w:val="0"/>
        <w:autoSpaceDE w:val="0"/>
        <w:autoSpaceDN w:val="0"/>
        <w:adjustRightInd w:val="0"/>
        <w:snapToGrid w:val="0"/>
        <w:spacing w:before="171" w:line="254" w:lineRule="auto"/>
        <w:ind w:right="215"/>
        <w:jc w:val="left"/>
        <w:textAlignment w:val="baseline"/>
      </w:pPr>
    </w:p>
    <w:p w14:paraId="65D8FFFE">
      <w:pPr>
        <w:pStyle w:val="6"/>
        <w:keepNext w:val="0"/>
        <w:keepLines w:val="0"/>
        <w:pageBreakBefore w:val="0"/>
        <w:widowControl w:val="0"/>
        <w:kinsoku/>
        <w:wordWrap/>
        <w:overflowPunct/>
        <w:topLinePunct w:val="0"/>
        <w:autoSpaceDE/>
        <w:autoSpaceDN/>
        <w:bidi w:val="0"/>
        <w:adjustRightInd/>
        <w:spacing w:after="159" w:afterLines="50" w:afterAutospacing="0" w:line="360" w:lineRule="exact"/>
        <w:ind w:left="0" w:leftChars="0" w:firstLine="0" w:firstLineChars="0"/>
        <w:jc w:val="center"/>
        <w:rPr>
          <w:rFonts w:hint="eastAsia" w:ascii="仿宋" w:hAnsi="Times New Roman" w:eastAsia="仿宋" w:cs="仿宋"/>
          <w:b/>
          <w:bCs/>
          <w:color w:val="000000" w:themeColor="text1"/>
          <w:spacing w:val="-20"/>
          <w:kern w:val="2"/>
          <w:sz w:val="32"/>
          <w:szCs w:val="32"/>
          <w:lang w:val="en-US" w:eastAsia="zh-CN" w:bidi="ar-SA"/>
          <w14:textFill>
            <w14:solidFill>
              <w14:schemeClr w14:val="tx1"/>
            </w14:solidFill>
          </w14:textFill>
        </w:rPr>
      </w:pPr>
    </w:p>
    <w:p w14:paraId="3ACE669A">
      <w:pPr>
        <w:pStyle w:val="6"/>
        <w:keepNext w:val="0"/>
        <w:keepLines w:val="0"/>
        <w:pageBreakBefore w:val="0"/>
        <w:widowControl w:val="0"/>
        <w:kinsoku/>
        <w:wordWrap/>
        <w:overflowPunct/>
        <w:topLinePunct w:val="0"/>
        <w:autoSpaceDE/>
        <w:autoSpaceDN/>
        <w:bidi w:val="0"/>
        <w:adjustRightInd/>
        <w:spacing w:after="159" w:afterLines="50" w:afterAutospacing="0" w:line="360" w:lineRule="exact"/>
        <w:ind w:left="0" w:leftChars="0" w:firstLine="0" w:firstLineChars="0"/>
        <w:jc w:val="center"/>
        <w:rPr>
          <w:rFonts w:hint="eastAsia" w:ascii="仿宋" w:hAnsi="Times New Roman" w:eastAsia="仿宋" w:cs="仿宋"/>
          <w:b/>
          <w:bCs/>
          <w:color w:val="000000" w:themeColor="text1"/>
          <w:spacing w:val="-20"/>
          <w:kern w:val="2"/>
          <w:sz w:val="32"/>
          <w:szCs w:val="32"/>
          <w:lang w:val="en-US" w:eastAsia="zh-CN" w:bidi="ar-SA"/>
          <w14:textFill>
            <w14:solidFill>
              <w14:schemeClr w14:val="tx1"/>
            </w14:solidFill>
          </w14:textFill>
        </w:rPr>
      </w:pPr>
    </w:p>
    <w:p w14:paraId="4401A411">
      <w:pPr>
        <w:pStyle w:val="6"/>
        <w:keepNext w:val="0"/>
        <w:keepLines w:val="0"/>
        <w:pageBreakBefore w:val="0"/>
        <w:widowControl w:val="0"/>
        <w:kinsoku/>
        <w:wordWrap/>
        <w:overflowPunct/>
        <w:topLinePunct w:val="0"/>
        <w:autoSpaceDE/>
        <w:autoSpaceDN/>
        <w:bidi w:val="0"/>
        <w:adjustRightInd/>
        <w:spacing w:after="159" w:afterLines="50" w:afterAutospacing="0" w:line="360" w:lineRule="exact"/>
        <w:ind w:left="0" w:leftChars="0" w:firstLine="0" w:firstLineChars="0"/>
        <w:jc w:val="center"/>
        <w:rPr>
          <w:rFonts w:ascii="仿宋" w:hAnsi="Times New Roman" w:eastAsia="仿宋" w:cs="仿宋"/>
          <w:b/>
          <w:bCs/>
          <w:kern w:val="2"/>
          <w:sz w:val="32"/>
          <w:szCs w:val="32"/>
          <w:lang w:val="en-US" w:eastAsia="zh-CN" w:bidi="ar-SA"/>
        </w:rPr>
      </w:pPr>
      <w:permStart w:id="1" w:edGrp="everyone"/>
      <w:r>
        <w:rPr>
          <w:rFonts w:hint="eastAsia" w:ascii="仿宋" w:hAnsi="Times New Roman" w:eastAsia="仿宋" w:cs="仿宋"/>
          <w:b/>
          <w:bCs/>
          <w:color w:val="000000" w:themeColor="text1"/>
          <w:spacing w:val="-20"/>
          <w:kern w:val="2"/>
          <w:sz w:val="32"/>
          <w:szCs w:val="32"/>
          <w:lang w:val="en-US" w:eastAsia="zh-CN" w:bidi="ar-SA"/>
          <w14:textFill>
            <w14:solidFill>
              <w14:schemeClr w14:val="tx1"/>
            </w14:solidFill>
          </w14:textFill>
        </w:rPr>
        <w:t>“</w:t>
      </w:r>
      <w:r>
        <w:rPr>
          <w:rFonts w:hint="eastAsia" w:cs="仿宋"/>
          <w:b/>
          <w:bCs/>
          <w:color w:val="000000" w:themeColor="text1"/>
          <w:spacing w:val="-20"/>
          <w:kern w:val="2"/>
          <w:sz w:val="32"/>
          <w:szCs w:val="32"/>
          <w:lang w:val="en-US" w:eastAsia="zh-CN" w:bidi="ar-SA"/>
          <w14:textFill>
            <w14:solidFill>
              <w14:schemeClr w14:val="tx1"/>
            </w14:solidFill>
          </w14:textFill>
        </w:rPr>
        <w:t>新机制下基础设施投融资与特许经营项目全流程落地实操</w:t>
      </w:r>
      <w:r>
        <w:rPr>
          <w:rFonts w:hint="eastAsia" w:ascii="仿宋" w:hAnsi="Times New Roman" w:eastAsia="仿宋" w:cs="仿宋"/>
          <w:b/>
          <w:bCs/>
          <w:color w:val="000000" w:themeColor="text1"/>
          <w:spacing w:val="-20"/>
          <w:kern w:val="2"/>
          <w:sz w:val="32"/>
          <w:szCs w:val="32"/>
          <w:lang w:val="en-US" w:eastAsia="zh-CN" w:bidi="ar-SA"/>
          <w14:textFill>
            <w14:solidFill>
              <w14:schemeClr w14:val="tx1"/>
            </w14:solidFill>
          </w14:textFill>
        </w:rPr>
        <w:t>、风险防控、融资实务”专题培训班</w:t>
      </w:r>
      <w:r>
        <w:rPr>
          <w:rFonts w:hint="eastAsia" w:ascii="仿宋" w:hAnsi="Times New Roman" w:eastAsia="仿宋" w:cs="仿宋"/>
          <w:b/>
          <w:bCs/>
          <w:kern w:val="2"/>
          <w:sz w:val="32"/>
          <w:szCs w:val="32"/>
          <w:lang w:val="en-US" w:eastAsia="zh-CN" w:bidi="ar-SA"/>
        </w:rPr>
        <w:t>回执表</w:t>
      </w:r>
    </w:p>
    <w:tbl>
      <w:tblPr>
        <w:tblStyle w:val="7"/>
        <w:tblW w:w="9525" w:type="dxa"/>
        <w:tblInd w:w="93" w:type="dxa"/>
        <w:tblLayout w:type="autofit"/>
        <w:tblCellMar>
          <w:top w:w="0" w:type="dxa"/>
          <w:left w:w="108" w:type="dxa"/>
          <w:bottom w:w="0" w:type="dxa"/>
          <w:right w:w="108" w:type="dxa"/>
        </w:tblCellMar>
      </w:tblPr>
      <w:tblGrid>
        <w:gridCol w:w="1305"/>
        <w:gridCol w:w="645"/>
        <w:gridCol w:w="330"/>
        <w:gridCol w:w="330"/>
        <w:gridCol w:w="840"/>
        <w:gridCol w:w="1200"/>
        <w:gridCol w:w="765"/>
        <w:gridCol w:w="870"/>
        <w:gridCol w:w="540"/>
        <w:gridCol w:w="555"/>
        <w:gridCol w:w="750"/>
        <w:gridCol w:w="1395"/>
      </w:tblGrid>
      <w:tr w14:paraId="3D0FFC40">
        <w:tblPrEx>
          <w:tblCellMar>
            <w:top w:w="0" w:type="dxa"/>
            <w:left w:w="108" w:type="dxa"/>
            <w:bottom w:w="0" w:type="dxa"/>
            <w:right w:w="108" w:type="dxa"/>
          </w:tblCellMar>
        </w:tblPrEx>
        <w:trPr>
          <w:trHeight w:val="487"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94044">
            <w:pPr>
              <w:widowControl/>
              <w:spacing w:beforeAutospacing="0"/>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单位名称</w:t>
            </w:r>
          </w:p>
        </w:tc>
        <w:tc>
          <w:tcPr>
            <w:tcW w:w="552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58492">
            <w:pPr>
              <w:jc w:val="center"/>
              <w:rPr>
                <w:rFonts w:hint="eastAsia" w:ascii="仿宋" w:hAnsi="仿宋" w:eastAsia="仿宋" w:cs="仿宋"/>
                <w:color w:val="000000"/>
                <w:sz w:val="24"/>
                <w:szCs w:val="24"/>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7C61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行业类别</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6FDFC">
            <w:pPr>
              <w:rPr>
                <w:rFonts w:hint="eastAsia" w:ascii="仿宋" w:hAnsi="仿宋" w:eastAsia="仿宋" w:cs="仿宋"/>
                <w:color w:val="000000"/>
                <w:sz w:val="24"/>
                <w:szCs w:val="24"/>
              </w:rPr>
            </w:pPr>
          </w:p>
        </w:tc>
      </w:tr>
      <w:tr w14:paraId="429F56EF">
        <w:tblPrEx>
          <w:tblCellMar>
            <w:top w:w="0" w:type="dxa"/>
            <w:left w:w="108" w:type="dxa"/>
            <w:bottom w:w="0" w:type="dxa"/>
            <w:right w:w="108" w:type="dxa"/>
          </w:tblCellMar>
        </w:tblPrEx>
        <w:trPr>
          <w:trHeight w:val="4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CAE23">
            <w:pPr>
              <w:widowControl/>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单位地址</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64626">
            <w:pPr>
              <w:jc w:val="center"/>
              <w:rPr>
                <w:rFonts w:hint="eastAsia" w:ascii="仿宋" w:hAnsi="仿宋" w:eastAsia="仿宋" w:cs="仿宋"/>
                <w:color w:val="000000"/>
                <w:sz w:val="24"/>
                <w:szCs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E6E0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邮编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CE519">
            <w:pPr>
              <w:rPr>
                <w:rFonts w:hint="eastAsia" w:ascii="仿宋" w:hAnsi="仿宋" w:eastAsia="仿宋" w:cs="仿宋"/>
                <w:color w:val="000000"/>
                <w:sz w:val="24"/>
                <w:szCs w:val="24"/>
              </w:rPr>
            </w:pPr>
          </w:p>
        </w:tc>
      </w:tr>
      <w:tr w14:paraId="6953EA4A">
        <w:tblPrEx>
          <w:tblCellMar>
            <w:top w:w="0" w:type="dxa"/>
            <w:left w:w="108" w:type="dxa"/>
            <w:bottom w:w="0" w:type="dxa"/>
            <w:right w:w="108" w:type="dxa"/>
          </w:tblCellMar>
        </w:tblPrEx>
        <w:trPr>
          <w:trHeight w:val="3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B6A51">
            <w:pPr>
              <w:widowControl/>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联系人</w:t>
            </w:r>
          </w:p>
        </w:tc>
        <w:tc>
          <w:tcPr>
            <w:tcW w:w="13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877159">
            <w:pPr>
              <w:jc w:val="center"/>
              <w:rPr>
                <w:rFonts w:hint="eastAsia" w:ascii="仿宋" w:hAnsi="仿宋" w:eastAsia="仿宋" w:cs="仿宋"/>
                <w:color w:val="000000"/>
                <w:sz w:val="24"/>
                <w:szCs w:val="24"/>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9CEB">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08967">
            <w:pPr>
              <w:jc w:val="center"/>
              <w:rPr>
                <w:rFonts w:hint="eastAsia" w:ascii="仿宋" w:hAnsi="仿宋" w:eastAsia="仿宋" w:cs="仿宋"/>
                <w:color w:val="000000"/>
                <w:sz w:val="24"/>
                <w:szCs w:val="24"/>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4156">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职务</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B97633">
            <w:pPr>
              <w:jc w:val="center"/>
              <w:rPr>
                <w:rFonts w:hint="eastAsia" w:ascii="仿宋" w:hAnsi="仿宋" w:eastAsia="仿宋" w:cs="仿宋"/>
                <w:color w:val="000000"/>
                <w:sz w:val="24"/>
                <w:szCs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C67F4">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手机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0F908">
            <w:pPr>
              <w:rPr>
                <w:rFonts w:hint="eastAsia" w:ascii="仿宋" w:hAnsi="仿宋" w:eastAsia="仿宋" w:cs="仿宋"/>
                <w:color w:val="000000"/>
                <w:sz w:val="24"/>
                <w:szCs w:val="24"/>
              </w:rPr>
            </w:pPr>
          </w:p>
        </w:tc>
      </w:tr>
      <w:tr w14:paraId="3634B0F6">
        <w:tblPrEx>
          <w:tblCellMar>
            <w:top w:w="0" w:type="dxa"/>
            <w:left w:w="108" w:type="dxa"/>
            <w:bottom w:w="0" w:type="dxa"/>
            <w:right w:w="108" w:type="dxa"/>
          </w:tblCellMar>
        </w:tblPrEx>
        <w:trPr>
          <w:trHeight w:val="395"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3AA99">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电话/区号</w:t>
            </w:r>
          </w:p>
        </w:tc>
        <w:tc>
          <w:tcPr>
            <w:tcW w:w="33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0ACAF6">
            <w:pPr>
              <w:jc w:val="center"/>
              <w:rPr>
                <w:rFonts w:hint="eastAsia"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50DFF">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传真</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FD092">
            <w:pPr>
              <w:jc w:val="center"/>
              <w:rPr>
                <w:rFonts w:hint="eastAsia" w:ascii="仿宋" w:hAnsi="仿宋" w:eastAsia="仿宋" w:cs="仿宋"/>
                <w:color w:val="000000"/>
                <w:sz w:val="24"/>
                <w:szCs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B66F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E-mail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64A0C">
            <w:pPr>
              <w:rPr>
                <w:rFonts w:hint="eastAsia" w:ascii="仿宋" w:hAnsi="仿宋" w:eastAsia="仿宋" w:cs="仿宋"/>
                <w:color w:val="000000"/>
                <w:sz w:val="24"/>
                <w:szCs w:val="24"/>
              </w:rPr>
            </w:pPr>
          </w:p>
        </w:tc>
      </w:tr>
      <w:tr w14:paraId="66696517">
        <w:tblPrEx>
          <w:tblCellMar>
            <w:top w:w="0" w:type="dxa"/>
            <w:left w:w="108" w:type="dxa"/>
            <w:bottom w:w="0" w:type="dxa"/>
            <w:right w:w="108" w:type="dxa"/>
          </w:tblCellMar>
        </w:tblPrEx>
        <w:trPr>
          <w:trHeight w:val="60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82AB1">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代表姓名</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7A1F9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性别</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88804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64A4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职务</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D7216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电话</w:t>
            </w:r>
          </w:p>
        </w:tc>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28D3D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手机</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D988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备注</w:t>
            </w:r>
          </w:p>
        </w:tc>
      </w:tr>
      <w:tr w14:paraId="16493700">
        <w:tblPrEx>
          <w:tblCellMar>
            <w:top w:w="0" w:type="dxa"/>
            <w:left w:w="108" w:type="dxa"/>
            <w:bottom w:w="0" w:type="dxa"/>
            <w:right w:w="108" w:type="dxa"/>
          </w:tblCellMar>
        </w:tblPrEx>
        <w:trPr>
          <w:trHeight w:val="3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1325B">
            <w:pPr>
              <w:rPr>
                <w:rFonts w:hint="eastAsia" w:ascii="仿宋" w:hAnsi="仿宋" w:eastAsia="仿宋" w:cs="仿宋"/>
                <w:color w:val="000000"/>
                <w:sz w:val="24"/>
                <w:szCs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95613">
            <w:pPr>
              <w:jc w:val="center"/>
              <w:rPr>
                <w:rFonts w:hint="eastAsia" w:ascii="仿宋" w:hAnsi="仿宋" w:eastAsia="仿宋" w:cs="仿宋"/>
                <w:color w:val="000000"/>
                <w:sz w:val="24"/>
                <w:szCs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82200">
            <w:pPr>
              <w:jc w:val="center"/>
              <w:rPr>
                <w:rFonts w:hint="eastAsia"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133C7">
            <w:pPr>
              <w:jc w:val="center"/>
              <w:rPr>
                <w:rFonts w:hint="eastAsia" w:ascii="仿宋" w:hAnsi="仿宋" w:eastAsia="仿宋" w:cs="仿宋"/>
                <w:color w:val="000000"/>
                <w:sz w:val="24"/>
                <w:szCs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15FC8">
            <w:pPr>
              <w:jc w:val="center"/>
              <w:rPr>
                <w:rFonts w:hint="eastAsia" w:ascii="仿宋" w:hAnsi="仿宋" w:eastAsia="仿宋" w:cs="仿宋"/>
                <w:color w:val="000000"/>
                <w:sz w:val="24"/>
                <w:szCs w:val="24"/>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2DBD0">
            <w:pPr>
              <w:jc w:val="center"/>
              <w:rPr>
                <w:rFonts w:hint="eastAsia"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6C95C">
            <w:pPr>
              <w:rPr>
                <w:rFonts w:hint="eastAsia" w:ascii="仿宋" w:hAnsi="仿宋" w:eastAsia="仿宋" w:cs="仿宋"/>
                <w:color w:val="000000"/>
                <w:sz w:val="24"/>
                <w:szCs w:val="24"/>
              </w:rPr>
            </w:pPr>
          </w:p>
        </w:tc>
      </w:tr>
      <w:tr w14:paraId="76E7BE4E">
        <w:tblPrEx>
          <w:tblCellMar>
            <w:top w:w="0" w:type="dxa"/>
            <w:left w:w="108" w:type="dxa"/>
            <w:bottom w:w="0" w:type="dxa"/>
            <w:right w:w="108" w:type="dxa"/>
          </w:tblCellMar>
        </w:tblPrEx>
        <w:trPr>
          <w:trHeight w:val="4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55EFD">
            <w:pPr>
              <w:rPr>
                <w:rFonts w:hint="eastAsia" w:ascii="仿宋" w:hAnsi="仿宋" w:eastAsia="仿宋" w:cs="仿宋"/>
                <w:color w:val="000000"/>
                <w:sz w:val="24"/>
                <w:szCs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5671">
            <w:pPr>
              <w:jc w:val="center"/>
              <w:rPr>
                <w:rFonts w:hint="eastAsia" w:ascii="仿宋" w:hAnsi="仿宋" w:eastAsia="仿宋" w:cs="仿宋"/>
                <w:color w:val="000000"/>
                <w:sz w:val="24"/>
                <w:szCs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146EB">
            <w:pPr>
              <w:jc w:val="center"/>
              <w:rPr>
                <w:rFonts w:hint="eastAsia"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9D7A6">
            <w:pPr>
              <w:jc w:val="center"/>
              <w:rPr>
                <w:rFonts w:hint="eastAsia" w:ascii="仿宋" w:hAnsi="仿宋" w:eastAsia="仿宋" w:cs="仿宋"/>
                <w:color w:val="000000"/>
                <w:sz w:val="24"/>
                <w:szCs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2214C">
            <w:pPr>
              <w:jc w:val="center"/>
              <w:rPr>
                <w:rFonts w:hint="eastAsia" w:ascii="仿宋" w:hAnsi="仿宋" w:eastAsia="仿宋" w:cs="仿宋"/>
                <w:color w:val="000000"/>
                <w:sz w:val="24"/>
                <w:szCs w:val="24"/>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2C397">
            <w:pPr>
              <w:jc w:val="center"/>
              <w:rPr>
                <w:rFonts w:hint="eastAsia"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B766A">
            <w:pPr>
              <w:rPr>
                <w:rFonts w:hint="eastAsia" w:ascii="仿宋" w:hAnsi="仿宋" w:eastAsia="仿宋" w:cs="仿宋"/>
                <w:color w:val="000000"/>
                <w:sz w:val="24"/>
                <w:szCs w:val="24"/>
              </w:rPr>
            </w:pPr>
          </w:p>
        </w:tc>
      </w:tr>
      <w:tr w14:paraId="18CDCC75">
        <w:tblPrEx>
          <w:tblCellMar>
            <w:top w:w="0" w:type="dxa"/>
            <w:left w:w="108" w:type="dxa"/>
            <w:bottom w:w="0" w:type="dxa"/>
            <w:right w:w="108" w:type="dxa"/>
          </w:tblCellMar>
        </w:tblPrEx>
        <w:trPr>
          <w:trHeight w:val="4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7E148">
            <w:pPr>
              <w:rPr>
                <w:rFonts w:hint="eastAsia" w:ascii="仿宋" w:hAnsi="仿宋" w:eastAsia="仿宋" w:cs="仿宋"/>
                <w:color w:val="000000"/>
                <w:sz w:val="24"/>
                <w:szCs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1206C">
            <w:pPr>
              <w:jc w:val="center"/>
              <w:rPr>
                <w:rFonts w:hint="eastAsia" w:ascii="仿宋" w:hAnsi="仿宋" w:eastAsia="仿宋" w:cs="仿宋"/>
                <w:color w:val="000000"/>
                <w:sz w:val="24"/>
                <w:szCs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305BC">
            <w:pPr>
              <w:jc w:val="center"/>
              <w:rPr>
                <w:rFonts w:hint="eastAsia"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A7E9D">
            <w:pPr>
              <w:jc w:val="center"/>
              <w:rPr>
                <w:rFonts w:hint="eastAsia" w:ascii="仿宋" w:hAnsi="仿宋" w:eastAsia="仿宋" w:cs="仿宋"/>
                <w:color w:val="000000"/>
                <w:sz w:val="24"/>
                <w:szCs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18184">
            <w:pPr>
              <w:jc w:val="center"/>
              <w:rPr>
                <w:rFonts w:hint="eastAsia" w:ascii="仿宋" w:hAnsi="仿宋" w:eastAsia="仿宋" w:cs="仿宋"/>
                <w:color w:val="000000"/>
                <w:sz w:val="24"/>
                <w:szCs w:val="24"/>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C1ACF">
            <w:pPr>
              <w:jc w:val="center"/>
              <w:rPr>
                <w:rFonts w:hint="eastAsia"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B94CB">
            <w:pPr>
              <w:rPr>
                <w:rFonts w:hint="eastAsia" w:ascii="仿宋" w:hAnsi="仿宋" w:eastAsia="仿宋" w:cs="仿宋"/>
                <w:color w:val="000000"/>
                <w:sz w:val="24"/>
                <w:szCs w:val="24"/>
              </w:rPr>
            </w:pPr>
          </w:p>
        </w:tc>
      </w:tr>
      <w:tr w14:paraId="0A581176">
        <w:tblPrEx>
          <w:tblCellMar>
            <w:top w:w="0" w:type="dxa"/>
            <w:left w:w="108" w:type="dxa"/>
            <w:bottom w:w="0" w:type="dxa"/>
            <w:right w:w="108" w:type="dxa"/>
          </w:tblCellMar>
        </w:tblPrEx>
        <w:trPr>
          <w:trHeight w:val="4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8C13C">
            <w:pPr>
              <w:rPr>
                <w:rFonts w:hint="eastAsia" w:ascii="仿宋" w:hAnsi="仿宋" w:eastAsia="仿宋" w:cs="仿宋"/>
                <w:color w:val="000000"/>
                <w:sz w:val="24"/>
                <w:szCs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E8338">
            <w:pPr>
              <w:jc w:val="center"/>
              <w:rPr>
                <w:rFonts w:hint="eastAsia" w:ascii="仿宋" w:hAnsi="仿宋" w:eastAsia="仿宋" w:cs="仿宋"/>
                <w:color w:val="000000"/>
                <w:sz w:val="24"/>
                <w:szCs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BF50E">
            <w:pPr>
              <w:jc w:val="center"/>
              <w:rPr>
                <w:rFonts w:hint="eastAsia"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444D4">
            <w:pPr>
              <w:jc w:val="center"/>
              <w:rPr>
                <w:rFonts w:hint="eastAsia" w:ascii="仿宋" w:hAnsi="仿宋" w:eastAsia="仿宋" w:cs="仿宋"/>
                <w:color w:val="000000"/>
                <w:sz w:val="24"/>
                <w:szCs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BEA59">
            <w:pPr>
              <w:jc w:val="center"/>
              <w:rPr>
                <w:rFonts w:hint="eastAsia" w:ascii="仿宋" w:hAnsi="仿宋" w:eastAsia="仿宋" w:cs="仿宋"/>
                <w:color w:val="000000"/>
                <w:sz w:val="24"/>
                <w:szCs w:val="24"/>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89ED8">
            <w:pPr>
              <w:jc w:val="center"/>
              <w:rPr>
                <w:rFonts w:hint="eastAsia"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3EEF1">
            <w:pPr>
              <w:rPr>
                <w:rFonts w:hint="eastAsia" w:ascii="仿宋" w:hAnsi="仿宋" w:eastAsia="仿宋" w:cs="仿宋"/>
                <w:color w:val="000000"/>
                <w:sz w:val="24"/>
                <w:szCs w:val="24"/>
              </w:rPr>
            </w:pPr>
          </w:p>
        </w:tc>
      </w:tr>
      <w:tr w14:paraId="52A7918F">
        <w:tblPrEx>
          <w:tblCellMar>
            <w:top w:w="0" w:type="dxa"/>
            <w:left w:w="108" w:type="dxa"/>
            <w:bottom w:w="0" w:type="dxa"/>
            <w:right w:w="108" w:type="dxa"/>
          </w:tblCellMar>
        </w:tblPrEx>
        <w:trPr>
          <w:trHeight w:val="39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4A8DD">
            <w:pPr>
              <w:rPr>
                <w:rFonts w:hint="eastAsia" w:ascii="仿宋" w:hAnsi="仿宋" w:eastAsia="仿宋" w:cs="仿宋"/>
                <w:color w:val="000000"/>
                <w:sz w:val="24"/>
                <w:szCs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C020F">
            <w:pPr>
              <w:jc w:val="center"/>
              <w:rPr>
                <w:rFonts w:hint="eastAsia" w:ascii="仿宋" w:hAnsi="仿宋" w:eastAsia="仿宋" w:cs="仿宋"/>
                <w:color w:val="000000"/>
                <w:sz w:val="24"/>
                <w:szCs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3178A">
            <w:pPr>
              <w:jc w:val="center"/>
              <w:rPr>
                <w:rFonts w:hint="eastAsia"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925C5">
            <w:pPr>
              <w:jc w:val="center"/>
              <w:rPr>
                <w:rFonts w:hint="eastAsia" w:ascii="仿宋" w:hAnsi="仿宋" w:eastAsia="仿宋" w:cs="仿宋"/>
                <w:color w:val="000000"/>
                <w:sz w:val="24"/>
                <w:szCs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18159">
            <w:pPr>
              <w:jc w:val="center"/>
              <w:rPr>
                <w:rFonts w:hint="eastAsia" w:ascii="仿宋" w:hAnsi="仿宋" w:eastAsia="仿宋" w:cs="仿宋"/>
                <w:color w:val="000000"/>
                <w:sz w:val="24"/>
                <w:szCs w:val="24"/>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E4494">
            <w:pPr>
              <w:jc w:val="center"/>
              <w:rPr>
                <w:rFonts w:hint="eastAsia"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0B6F1">
            <w:pPr>
              <w:rPr>
                <w:rFonts w:hint="eastAsia" w:ascii="仿宋" w:hAnsi="仿宋" w:eastAsia="仿宋" w:cs="仿宋"/>
                <w:color w:val="000000"/>
                <w:sz w:val="24"/>
                <w:szCs w:val="24"/>
              </w:rPr>
            </w:pPr>
          </w:p>
        </w:tc>
      </w:tr>
      <w:tr w14:paraId="7433C05B">
        <w:tblPrEx>
          <w:tblCellMar>
            <w:top w:w="0" w:type="dxa"/>
            <w:left w:w="108" w:type="dxa"/>
            <w:bottom w:w="0" w:type="dxa"/>
            <w:right w:w="108" w:type="dxa"/>
          </w:tblCellMar>
        </w:tblPrEx>
        <w:trPr>
          <w:trHeight w:val="37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841A8">
            <w:pPr>
              <w:rPr>
                <w:rFonts w:hint="eastAsia" w:ascii="仿宋" w:hAnsi="仿宋" w:eastAsia="仿宋" w:cs="仿宋"/>
                <w:color w:val="000000"/>
                <w:sz w:val="24"/>
                <w:szCs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2D2CA">
            <w:pPr>
              <w:jc w:val="center"/>
              <w:rPr>
                <w:rFonts w:hint="eastAsia" w:ascii="仿宋" w:hAnsi="仿宋" w:eastAsia="仿宋" w:cs="仿宋"/>
                <w:color w:val="000000"/>
                <w:sz w:val="24"/>
                <w:szCs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65CF4">
            <w:pPr>
              <w:jc w:val="center"/>
              <w:rPr>
                <w:rFonts w:hint="eastAsia"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5CDFE">
            <w:pPr>
              <w:jc w:val="center"/>
              <w:rPr>
                <w:rFonts w:hint="eastAsia" w:ascii="仿宋" w:hAnsi="仿宋" w:eastAsia="仿宋" w:cs="仿宋"/>
                <w:color w:val="000000"/>
                <w:sz w:val="24"/>
                <w:szCs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E9DC5">
            <w:pPr>
              <w:jc w:val="center"/>
              <w:rPr>
                <w:rFonts w:hint="eastAsia" w:ascii="仿宋" w:hAnsi="仿宋" w:eastAsia="仿宋" w:cs="仿宋"/>
                <w:color w:val="000000"/>
                <w:sz w:val="24"/>
                <w:szCs w:val="24"/>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29AD0">
            <w:pPr>
              <w:jc w:val="center"/>
              <w:rPr>
                <w:rFonts w:hint="eastAsia"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8EC57">
            <w:pPr>
              <w:rPr>
                <w:rFonts w:hint="eastAsia" w:ascii="仿宋" w:hAnsi="仿宋" w:eastAsia="仿宋" w:cs="仿宋"/>
                <w:color w:val="000000"/>
                <w:sz w:val="24"/>
                <w:szCs w:val="24"/>
              </w:rPr>
            </w:pPr>
          </w:p>
        </w:tc>
      </w:tr>
      <w:tr w14:paraId="24A4A064">
        <w:tblPrEx>
          <w:tblCellMar>
            <w:top w:w="0" w:type="dxa"/>
            <w:left w:w="108" w:type="dxa"/>
            <w:bottom w:w="0" w:type="dxa"/>
            <w:right w:w="108" w:type="dxa"/>
          </w:tblCellMar>
        </w:tblPrEx>
        <w:trPr>
          <w:trHeight w:val="585"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DEFC">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发票要求</w:t>
            </w:r>
          </w:p>
        </w:tc>
        <w:tc>
          <w:tcPr>
            <w:tcW w:w="82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E6B38B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□增值税普通发票               □增值税专用发票</w:t>
            </w:r>
          </w:p>
        </w:tc>
      </w:tr>
      <w:tr w14:paraId="6619C05D">
        <w:tblPrEx>
          <w:tblCellMar>
            <w:top w:w="0" w:type="dxa"/>
            <w:left w:w="108" w:type="dxa"/>
            <w:bottom w:w="0" w:type="dxa"/>
            <w:right w:w="108" w:type="dxa"/>
          </w:tblCellMar>
        </w:tblPrEx>
        <w:trPr>
          <w:trHeight w:val="48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CBA5B">
            <w:pPr>
              <w:widowControl/>
              <w:jc w:val="both"/>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地   点</w:t>
            </w:r>
          </w:p>
        </w:tc>
        <w:tc>
          <w:tcPr>
            <w:tcW w:w="82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1C7E65E">
            <w:pPr>
              <w:widowControl/>
              <w:tabs>
                <w:tab w:val="left" w:pos="5289"/>
              </w:tabs>
              <w:ind w:firstLine="2880" w:firstLineChars="1200"/>
              <w:jc w:val="both"/>
              <w:textAlignment w:val="center"/>
              <w:rPr>
                <w:rFonts w:hint="default" w:ascii="仿宋" w:hAnsi="仿宋" w:eastAsia="仿宋" w:cs="仿宋"/>
                <w:color w:val="000000"/>
                <w:sz w:val="24"/>
                <w:szCs w:val="24"/>
                <w:lang w:val="en-US" w:eastAsia="zh-CN"/>
              </w:rPr>
            </w:pPr>
            <w:r>
              <w:rPr>
                <w:rFonts w:hint="eastAsia" w:cs="仿宋"/>
                <w:color w:val="000000"/>
                <w:kern w:val="0"/>
                <w:sz w:val="24"/>
                <w:szCs w:val="24"/>
                <w:lang w:val="en-US" w:eastAsia="zh-CN" w:bidi="ar"/>
              </w:rPr>
              <w:t xml:space="preserve">北 京 </w:t>
            </w:r>
            <w:r>
              <w:rPr>
                <w:rFonts w:hint="eastAsia" w:ascii="仿宋" w:hAnsi="仿宋" w:eastAsia="仿宋" w:cs="仿宋"/>
                <w:color w:val="000000"/>
                <w:kern w:val="0"/>
                <w:sz w:val="24"/>
                <w:szCs w:val="24"/>
                <w:lang w:bidi="ar"/>
              </w:rPr>
              <w:t>□</w:t>
            </w:r>
            <w:r>
              <w:rPr>
                <w:rFonts w:hint="eastAsia" w:cs="仿宋"/>
                <w:color w:val="000000"/>
                <w:kern w:val="0"/>
                <w:sz w:val="24"/>
                <w:szCs w:val="24"/>
                <w:lang w:val="en-US" w:eastAsia="zh-CN" w:bidi="ar"/>
              </w:rPr>
              <w:t xml:space="preserve">            </w:t>
            </w:r>
          </w:p>
        </w:tc>
      </w:tr>
      <w:tr w14:paraId="23BF56A9">
        <w:tblPrEx>
          <w:tblCellMar>
            <w:top w:w="0" w:type="dxa"/>
            <w:left w:w="108" w:type="dxa"/>
            <w:bottom w:w="0" w:type="dxa"/>
            <w:right w:w="108" w:type="dxa"/>
          </w:tblCellMar>
        </w:tblPrEx>
        <w:trPr>
          <w:trHeight w:val="434" w:hRule="atLeast"/>
        </w:trPr>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02238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发票信息</w:t>
            </w:r>
          </w:p>
        </w:tc>
        <w:tc>
          <w:tcPr>
            <w:tcW w:w="7575" w:type="dxa"/>
            <w:gridSpan w:val="10"/>
            <w:vMerge w:val="restart"/>
            <w:tcBorders>
              <w:top w:val="single" w:color="000000" w:sz="4" w:space="0"/>
              <w:left w:val="single" w:color="000000" w:sz="4" w:space="0"/>
              <w:right w:val="single" w:color="000000" w:sz="4" w:space="0"/>
            </w:tcBorders>
            <w:shd w:val="clear" w:color="auto" w:fill="auto"/>
            <w:vAlign w:val="center"/>
          </w:tcPr>
          <w:p w14:paraId="1B6BE8D2">
            <w:pPr>
              <w:widowControl/>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1.开票名称：</w:t>
            </w:r>
          </w:p>
          <w:p w14:paraId="62A09ADE">
            <w:pPr>
              <w:widowControl/>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2.纳税人识别号：</w:t>
            </w:r>
          </w:p>
          <w:p w14:paraId="476D6D8C">
            <w:pPr>
              <w:widowControl/>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3.地址、电话：</w:t>
            </w:r>
          </w:p>
          <w:p w14:paraId="2833B86F">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4.开户行及账号：</w:t>
            </w:r>
          </w:p>
        </w:tc>
      </w:tr>
      <w:tr w14:paraId="488433BA">
        <w:tblPrEx>
          <w:tblCellMar>
            <w:top w:w="0" w:type="dxa"/>
            <w:left w:w="108" w:type="dxa"/>
            <w:bottom w:w="0" w:type="dxa"/>
            <w:right w:w="108" w:type="dxa"/>
          </w:tblCellMar>
        </w:tblPrEx>
        <w:trPr>
          <w:trHeight w:val="775" w:hRule="atLeast"/>
        </w:trPr>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DCDC59">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专票请填写</w:t>
            </w:r>
          </w:p>
          <w:p w14:paraId="46391385">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1-4全部信息</w:t>
            </w:r>
          </w:p>
          <w:p w14:paraId="4031CF52">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xml:space="preserve">普票请填写 </w:t>
            </w:r>
          </w:p>
          <w:p w14:paraId="17FB7810">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1-2全部信息</w:t>
            </w:r>
          </w:p>
        </w:tc>
        <w:tc>
          <w:tcPr>
            <w:tcW w:w="7575" w:type="dxa"/>
            <w:gridSpan w:val="10"/>
            <w:vMerge w:val="continue"/>
            <w:tcBorders>
              <w:left w:val="single" w:color="000000" w:sz="4" w:space="0"/>
              <w:bottom w:val="single" w:color="000000" w:sz="4" w:space="0"/>
              <w:right w:val="single" w:color="000000" w:sz="4" w:space="0"/>
            </w:tcBorders>
            <w:shd w:val="clear" w:color="auto" w:fill="auto"/>
            <w:vAlign w:val="center"/>
          </w:tcPr>
          <w:p w14:paraId="26C64AA9">
            <w:pPr>
              <w:widowControl/>
              <w:jc w:val="center"/>
              <w:textAlignment w:val="center"/>
              <w:rPr>
                <w:rFonts w:hint="eastAsia" w:ascii="仿宋" w:hAnsi="仿宋" w:eastAsia="仿宋" w:cs="仿宋"/>
                <w:color w:val="000000"/>
                <w:kern w:val="0"/>
                <w:sz w:val="24"/>
                <w:szCs w:val="24"/>
                <w:lang w:bidi="ar"/>
              </w:rPr>
            </w:pPr>
          </w:p>
        </w:tc>
      </w:tr>
      <w:tr w14:paraId="6EA65894">
        <w:tblPrEx>
          <w:tblCellMar>
            <w:top w:w="0" w:type="dxa"/>
            <w:left w:w="108" w:type="dxa"/>
            <w:bottom w:w="0" w:type="dxa"/>
            <w:right w:w="108" w:type="dxa"/>
          </w:tblCellMar>
        </w:tblPrEx>
        <w:trPr>
          <w:trHeight w:val="487"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0286C">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住宿安排</w:t>
            </w:r>
          </w:p>
        </w:tc>
        <w:tc>
          <w:tcPr>
            <w:tcW w:w="82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8E6AA2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□单间  □标间      订房数量</w:t>
            </w:r>
            <w:r>
              <w:rPr>
                <w:rFonts w:hint="eastAsia" w:cs="仿宋"/>
                <w:color w:val="000000"/>
                <w:kern w:val="0"/>
                <w:sz w:val="24"/>
                <w:szCs w:val="24"/>
                <w:lang w:val="en-US" w:eastAsia="zh-CN" w:bidi="ar"/>
              </w:rPr>
              <w:t xml:space="preserve">  </w:t>
            </w:r>
            <w:r>
              <w:rPr>
                <w:rFonts w:hint="eastAsia" w:ascii="仿宋" w:hAnsi="仿宋" w:eastAsia="仿宋" w:cs="仿宋"/>
                <w:color w:val="000000"/>
                <w:kern w:val="0"/>
                <w:sz w:val="24"/>
                <w:szCs w:val="24"/>
                <w:lang w:bidi="ar"/>
              </w:rPr>
              <w:t>间； □自行安排;</w:t>
            </w:r>
            <w:r>
              <w:rPr>
                <w:rFonts w:hint="eastAsia" w:cs="仿宋"/>
                <w:color w:val="000000"/>
                <w:kern w:val="0"/>
                <w:sz w:val="24"/>
                <w:szCs w:val="24"/>
                <w:lang w:val="en-US" w:eastAsia="zh-CN" w:bidi="ar"/>
              </w:rPr>
              <w:t xml:space="preserve">  </w:t>
            </w:r>
            <w:r>
              <w:rPr>
                <w:rFonts w:hint="eastAsia" w:ascii="仿宋" w:hAnsi="仿宋" w:eastAsia="仿宋" w:cs="仿宋"/>
                <w:color w:val="000000"/>
                <w:kern w:val="0"/>
                <w:sz w:val="24"/>
                <w:szCs w:val="24"/>
                <w:lang w:bidi="ar"/>
              </w:rPr>
              <w:t>其他说明：</w:t>
            </w:r>
          </w:p>
        </w:tc>
      </w:tr>
      <w:tr w14:paraId="0F1433AA">
        <w:tblPrEx>
          <w:tblCellMar>
            <w:top w:w="0" w:type="dxa"/>
            <w:left w:w="108" w:type="dxa"/>
            <w:bottom w:w="0" w:type="dxa"/>
            <w:right w:w="108" w:type="dxa"/>
          </w:tblCellMar>
        </w:tblPrEx>
        <w:trPr>
          <w:trHeight w:val="502"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73D6">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费用总额</w:t>
            </w:r>
          </w:p>
        </w:tc>
        <w:tc>
          <w:tcPr>
            <w:tcW w:w="607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593175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万     仟     佰    拾     元整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EA94">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小写</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F971">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w:t>
            </w:r>
          </w:p>
        </w:tc>
      </w:tr>
      <w:tr w14:paraId="728F44FE">
        <w:tblPrEx>
          <w:tblCellMar>
            <w:top w:w="0" w:type="dxa"/>
            <w:left w:w="108" w:type="dxa"/>
            <w:bottom w:w="0" w:type="dxa"/>
            <w:right w:w="108" w:type="dxa"/>
          </w:tblCellMar>
        </w:tblPrEx>
        <w:trPr>
          <w:trHeight w:val="312" w:hRule="atLeast"/>
        </w:trPr>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2B0B9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备注</w:t>
            </w:r>
          </w:p>
        </w:tc>
        <w:tc>
          <w:tcPr>
            <w:tcW w:w="6075" w:type="dxa"/>
            <w:gridSpan w:val="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86F2A">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请将《报名回执表》回传至会务组，</w:t>
            </w:r>
            <w:r>
              <w:rPr>
                <w:rFonts w:hint="eastAsia" w:ascii="仿宋" w:hAnsi="仿宋" w:eastAsia="仿宋" w:cs="仿宋"/>
                <w:sz w:val="24"/>
                <w:szCs w:val="24"/>
              </w:rPr>
              <w:t>会务组即发《报到通知附带汇款账号》</w:t>
            </w:r>
            <w:r>
              <w:rPr>
                <w:rFonts w:hint="eastAsia" w:ascii="仿宋" w:hAnsi="仿宋" w:eastAsia="仿宋" w:cs="仿宋"/>
                <w:color w:val="000000"/>
                <w:kern w:val="0"/>
                <w:sz w:val="24"/>
                <w:szCs w:val="24"/>
                <w:lang w:bidi="ar"/>
              </w:rPr>
              <w:t>并在报名3日内办理培训费</w:t>
            </w:r>
            <w:r>
              <w:rPr>
                <w:rFonts w:hint="eastAsia" w:ascii="仿宋" w:hAnsi="仿宋" w:eastAsia="仿宋" w:cs="仿宋"/>
                <w:sz w:val="24"/>
                <w:szCs w:val="24"/>
              </w:rPr>
              <w:t>，</w:t>
            </w:r>
            <w:r>
              <w:rPr>
                <w:rFonts w:hint="eastAsia" w:ascii="仿宋" w:hAnsi="仿宋" w:eastAsia="仿宋" w:cs="仿宋"/>
                <w:color w:val="000000"/>
                <w:kern w:val="0"/>
                <w:sz w:val="24"/>
                <w:szCs w:val="24"/>
                <w:lang w:bidi="ar"/>
              </w:rPr>
              <w:t>会务组确认到款后即发《日程安排》，详细说明培训安排具体事项。</w:t>
            </w:r>
          </w:p>
        </w:tc>
        <w:tc>
          <w:tcPr>
            <w:tcW w:w="21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51409B">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单位印章</w:t>
            </w:r>
          </w:p>
          <w:p w14:paraId="0FB1B38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2024年  月  日</w:t>
            </w:r>
          </w:p>
        </w:tc>
      </w:tr>
      <w:tr w14:paraId="6D6D3D7F">
        <w:tblPrEx>
          <w:tblCellMar>
            <w:top w:w="0" w:type="dxa"/>
            <w:left w:w="108" w:type="dxa"/>
            <w:bottom w:w="0" w:type="dxa"/>
            <w:right w:w="108" w:type="dxa"/>
          </w:tblCellMar>
        </w:tblPrEx>
        <w:trPr>
          <w:trHeight w:val="770" w:hRule="atLeast"/>
        </w:trPr>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1DF33">
            <w:pPr>
              <w:jc w:val="center"/>
              <w:rPr>
                <w:rFonts w:hint="eastAsia" w:ascii="仿宋" w:hAnsi="仿宋" w:eastAsia="仿宋" w:cs="仿宋"/>
                <w:color w:val="000000"/>
                <w:sz w:val="24"/>
                <w:szCs w:val="24"/>
              </w:rPr>
            </w:pPr>
          </w:p>
        </w:tc>
        <w:tc>
          <w:tcPr>
            <w:tcW w:w="6075"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972BF">
            <w:pPr>
              <w:jc w:val="left"/>
              <w:rPr>
                <w:rFonts w:hint="eastAsia" w:ascii="仿宋" w:hAnsi="仿宋" w:eastAsia="仿宋" w:cs="仿宋"/>
                <w:color w:val="000000"/>
                <w:sz w:val="24"/>
                <w:szCs w:val="24"/>
              </w:rPr>
            </w:pPr>
          </w:p>
        </w:tc>
        <w:tc>
          <w:tcPr>
            <w:tcW w:w="21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2A3AC">
            <w:pPr>
              <w:jc w:val="center"/>
              <w:rPr>
                <w:rFonts w:hint="eastAsia" w:ascii="仿宋" w:hAnsi="仿宋" w:eastAsia="仿宋" w:cs="仿宋"/>
                <w:color w:val="000000"/>
                <w:sz w:val="24"/>
                <w:szCs w:val="24"/>
              </w:rPr>
            </w:pPr>
          </w:p>
        </w:tc>
      </w:tr>
      <w:tr w14:paraId="6C8D5B40">
        <w:tblPrEx>
          <w:tblCellMar>
            <w:top w:w="0" w:type="dxa"/>
            <w:left w:w="108" w:type="dxa"/>
            <w:bottom w:w="0" w:type="dxa"/>
            <w:right w:w="108" w:type="dxa"/>
          </w:tblCellMar>
        </w:tblPrEx>
        <w:trPr>
          <w:trHeight w:val="1546" w:hRule="atLeast"/>
        </w:trPr>
        <w:tc>
          <w:tcPr>
            <w:tcW w:w="9525" w:type="dxa"/>
            <w:gridSpan w:val="12"/>
            <w:tcBorders>
              <w:top w:val="single" w:color="000000" w:sz="4" w:space="0"/>
              <w:left w:val="single" w:color="000000" w:sz="4" w:space="0"/>
              <w:bottom w:val="single" w:color="000000" w:sz="4" w:space="0"/>
              <w:right w:val="single" w:color="000000" w:sz="4" w:space="0"/>
            </w:tcBorders>
            <w:shd w:val="clear" w:color="auto" w:fill="auto"/>
          </w:tcPr>
          <w:p w14:paraId="6D1DF6BE">
            <w:pPr>
              <w:widowControl/>
              <w:jc w:val="left"/>
              <w:textAlignment w:val="top"/>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参加本次会议您想学习哪些内容</w:t>
            </w:r>
            <w:r>
              <w:rPr>
                <w:rFonts w:hint="eastAsia" w:ascii="仿宋" w:hAnsi="仿宋" w:eastAsia="仿宋" w:cs="仿宋"/>
                <w:color w:val="000000"/>
                <w:kern w:val="0"/>
                <w:sz w:val="24"/>
                <w:szCs w:val="24"/>
                <w:lang w:eastAsia="zh-CN" w:bidi="ar"/>
              </w:rPr>
              <w:t>？</w:t>
            </w:r>
            <w:r>
              <w:rPr>
                <w:rFonts w:hint="eastAsia" w:ascii="仿宋" w:hAnsi="仿宋" w:eastAsia="仿宋" w:cs="仿宋"/>
                <w:color w:val="000000"/>
                <w:kern w:val="0"/>
                <w:sz w:val="24"/>
                <w:szCs w:val="24"/>
                <w:lang w:bidi="ar"/>
              </w:rPr>
              <w:t>希望与专家交流的问题</w:t>
            </w:r>
            <w:r>
              <w:rPr>
                <w:rFonts w:hint="eastAsia" w:ascii="仿宋" w:hAnsi="仿宋" w:eastAsia="仿宋" w:cs="仿宋"/>
                <w:color w:val="000000"/>
                <w:kern w:val="0"/>
                <w:sz w:val="24"/>
                <w:szCs w:val="24"/>
                <w:lang w:eastAsia="zh-CN" w:bidi="ar"/>
              </w:rPr>
              <w:t>？</w:t>
            </w:r>
          </w:p>
        </w:tc>
      </w:tr>
      <w:tr w14:paraId="7490C300">
        <w:tblPrEx>
          <w:tblCellMar>
            <w:top w:w="0" w:type="dxa"/>
            <w:left w:w="108" w:type="dxa"/>
            <w:bottom w:w="0" w:type="dxa"/>
            <w:right w:w="108" w:type="dxa"/>
          </w:tblCellMar>
        </w:tblPrEx>
        <w:trPr>
          <w:trHeight w:val="1311" w:hRule="atLeast"/>
        </w:trPr>
        <w:tc>
          <w:tcPr>
            <w:tcW w:w="952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052347E">
            <w:pPr>
              <w:keepNext w:val="0"/>
              <w:keepLines w:val="0"/>
              <w:pageBreakBefore w:val="0"/>
              <w:widowControl/>
              <w:kinsoku/>
              <w:wordWrap/>
              <w:overflowPunct/>
              <w:topLinePunct w:val="0"/>
              <w:autoSpaceDE/>
              <w:autoSpaceDN/>
              <w:bidi w:val="0"/>
              <w:adjustRightInd/>
              <w:snapToGrid/>
              <w:spacing w:line="0" w:lineRule="atLeast"/>
              <w:jc w:val="left"/>
              <w:textAlignment w:val="top"/>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联 系 人：</w:t>
            </w:r>
            <w:r>
              <w:rPr>
                <w:rFonts w:hint="eastAsia"/>
              </w:rPr>
              <w:t>聂红军</w:t>
            </w:r>
          </w:p>
          <w:p w14:paraId="45F9C8B5">
            <w:pPr>
              <w:keepNext w:val="0"/>
              <w:keepLines w:val="0"/>
              <w:pageBreakBefore w:val="0"/>
              <w:widowControl/>
              <w:kinsoku/>
              <w:wordWrap/>
              <w:overflowPunct/>
              <w:topLinePunct w:val="0"/>
              <w:autoSpaceDE/>
              <w:autoSpaceDN/>
              <w:bidi w:val="0"/>
              <w:adjustRightInd/>
              <w:snapToGrid/>
              <w:spacing w:line="0" w:lineRule="atLeast"/>
              <w:jc w:val="left"/>
              <w:textAlignment w:val="top"/>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联系电话：</w:t>
            </w:r>
            <w:r>
              <w:rPr>
                <w:rFonts w:hint="eastAsia"/>
              </w:rPr>
              <w:t>18211071700</w:t>
            </w:r>
            <w:r>
              <w:rPr>
                <w:rFonts w:hint="eastAsia" w:ascii="仿宋" w:hAnsi="仿宋" w:eastAsia="仿宋" w:cs="仿宋"/>
                <w:color w:val="000000"/>
                <w:kern w:val="0"/>
                <w:sz w:val="28"/>
                <w:szCs w:val="28"/>
                <w:lang w:bidi="ar"/>
              </w:rPr>
              <w:t>（微信）</w:t>
            </w:r>
            <w:r>
              <w:rPr>
                <w:rFonts w:hint="eastAsia"/>
              </w:rPr>
              <w:t>13141289128</w:t>
            </w:r>
          </w:p>
          <w:p w14:paraId="2C8453CF">
            <w:pPr>
              <w:keepNext w:val="0"/>
              <w:keepLines w:val="0"/>
              <w:pageBreakBefore w:val="0"/>
              <w:widowControl/>
              <w:kinsoku/>
              <w:wordWrap/>
              <w:overflowPunct/>
              <w:topLinePunct w:val="0"/>
              <w:autoSpaceDE/>
              <w:autoSpaceDN/>
              <w:bidi w:val="0"/>
              <w:adjustRightInd/>
              <w:snapToGrid/>
              <w:spacing w:line="0" w:lineRule="atLeast"/>
              <w:jc w:val="left"/>
              <w:textAlignment w:val="top"/>
              <w:rPr>
                <w:rFonts w:hint="eastAsia" w:ascii="仿宋" w:hAnsi="仿宋" w:eastAsia="仿宋" w:cs="仿宋"/>
                <w:color w:val="000000"/>
                <w:sz w:val="24"/>
                <w:szCs w:val="24"/>
                <w:lang w:val="en-US" w:eastAsia="zh-CN"/>
              </w:rPr>
            </w:pPr>
            <w:r>
              <w:rPr>
                <w:rFonts w:hint="eastAsia" w:ascii="仿宋" w:hAnsi="仿宋" w:eastAsia="仿宋" w:cs="仿宋"/>
                <w:color w:val="000000"/>
                <w:kern w:val="0"/>
                <w:sz w:val="28"/>
                <w:szCs w:val="28"/>
                <w:lang w:bidi="ar"/>
              </w:rPr>
              <w:t>邮    箱：</w:t>
            </w:r>
            <w:r>
              <w:rPr>
                <w:rFonts w:hint="eastAsia"/>
              </w:rPr>
              <w:t>470882753</w:t>
            </w:r>
            <w:bookmarkStart w:id="3" w:name="_GoBack"/>
            <w:bookmarkEnd w:id="3"/>
            <w:r>
              <w:rPr>
                <w:rFonts w:hint="eastAsia" w:ascii="仿宋" w:hAnsi="仿宋" w:eastAsia="仿宋" w:cs="仿宋"/>
                <w:color w:val="000000"/>
                <w:kern w:val="0"/>
                <w:sz w:val="28"/>
                <w:szCs w:val="28"/>
                <w:lang w:bidi="ar"/>
              </w:rPr>
              <w:t>@qq.com</w:t>
            </w:r>
          </w:p>
        </w:tc>
      </w:tr>
    </w:tbl>
    <w:p w14:paraId="688D9B2F">
      <w:pPr>
        <w:kinsoku w:val="0"/>
        <w:autoSpaceDE w:val="0"/>
        <w:autoSpaceDN w:val="0"/>
        <w:adjustRightInd w:val="0"/>
        <w:snapToGrid w:val="0"/>
        <w:spacing w:before="171" w:line="254" w:lineRule="auto"/>
        <w:ind w:right="215"/>
        <w:jc w:val="left"/>
        <w:textAlignment w:val="baseline"/>
      </w:pPr>
      <w:r>
        <w:rPr>
          <w:rFonts w:hint="eastAsia"/>
          <w:b/>
          <w:bCs/>
          <w:snapToGrid w:val="0"/>
          <w:color w:val="000000"/>
          <w:spacing w:val="8"/>
          <w:kern w:val="0"/>
          <w:position w:val="1"/>
          <w:sz w:val="24"/>
          <w:szCs w:val="24"/>
        </w:rPr>
        <w:t>注</w:t>
      </w:r>
      <w:r>
        <w:rPr>
          <w:rFonts w:hint="eastAsia" w:eastAsia="仿宋"/>
          <w:b/>
          <w:bCs/>
          <w:snapToGrid w:val="0"/>
          <w:color w:val="000000"/>
          <w:spacing w:val="8"/>
          <w:kern w:val="0"/>
          <w:position w:val="1"/>
          <w:sz w:val="24"/>
          <w:szCs w:val="24"/>
          <w:lang w:eastAsia="zh-CN"/>
        </w:rPr>
        <w:t>：</w:t>
      </w:r>
      <w:r>
        <w:rPr>
          <w:rFonts w:hint="eastAsia"/>
          <w:b/>
          <w:bCs/>
          <w:snapToGrid w:val="0"/>
          <w:color w:val="000000"/>
          <w:spacing w:val="8"/>
          <w:kern w:val="0"/>
          <w:position w:val="1"/>
          <w:sz w:val="24"/>
          <w:szCs w:val="24"/>
        </w:rPr>
        <w:t>为保证培训质量，培训班名额有限，额满为止，请确定人员后及早报名；本次培训内容及建筑行业相关培训内容均可赴企业提供内训。</w:t>
      </w:r>
      <w:permEnd w:id="1"/>
    </w:p>
    <w:sectPr>
      <w:pgSz w:w="11906" w:h="16838"/>
      <w:pgMar w:top="1000" w:right="1266" w:bottom="1278" w:left="14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formatting="1" w:enforcement="1" w:cryptProviderType="rsaFull" w:cryptAlgorithmClass="hash" w:cryptAlgorithmType="typeAny" w:cryptAlgorithmSid="4" w:cryptSpinCount="0" w:hash="1b+5lBqgcTVtbd9XINfZrl8s+MM=" w:salt="F/+lcbgWG+jjTE+Xw1psR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yMWM5NTU3NmQwMzYzZGY2NjUyMjZkNDUzMDVhNDkifQ=="/>
  </w:docVars>
  <w:rsids>
    <w:rsidRoot w:val="4A9763E4"/>
    <w:rsid w:val="011C07DF"/>
    <w:rsid w:val="04934A97"/>
    <w:rsid w:val="05823171"/>
    <w:rsid w:val="05924D4E"/>
    <w:rsid w:val="05A30D0A"/>
    <w:rsid w:val="07D478A0"/>
    <w:rsid w:val="0A5922DF"/>
    <w:rsid w:val="0ABC3E80"/>
    <w:rsid w:val="0BF95B27"/>
    <w:rsid w:val="0C7756ED"/>
    <w:rsid w:val="0D6B2846"/>
    <w:rsid w:val="0D7F1218"/>
    <w:rsid w:val="0DD248FB"/>
    <w:rsid w:val="0DD37BBD"/>
    <w:rsid w:val="0EE63034"/>
    <w:rsid w:val="10377AF0"/>
    <w:rsid w:val="118926BF"/>
    <w:rsid w:val="14720225"/>
    <w:rsid w:val="17C84600"/>
    <w:rsid w:val="1A7C004F"/>
    <w:rsid w:val="1B826DA3"/>
    <w:rsid w:val="1BFB5B72"/>
    <w:rsid w:val="1C085913"/>
    <w:rsid w:val="1C155249"/>
    <w:rsid w:val="1CAD0994"/>
    <w:rsid w:val="1CB753A9"/>
    <w:rsid w:val="1E543091"/>
    <w:rsid w:val="1F071EB1"/>
    <w:rsid w:val="1FF65535"/>
    <w:rsid w:val="21F4671D"/>
    <w:rsid w:val="22A939AB"/>
    <w:rsid w:val="22AB7C07"/>
    <w:rsid w:val="23DC46E7"/>
    <w:rsid w:val="253B6A1E"/>
    <w:rsid w:val="28F2009D"/>
    <w:rsid w:val="294F1F66"/>
    <w:rsid w:val="29763BB2"/>
    <w:rsid w:val="2AD56D2B"/>
    <w:rsid w:val="2C6829E3"/>
    <w:rsid w:val="2D1221C7"/>
    <w:rsid w:val="2E206AEC"/>
    <w:rsid w:val="2F5527C5"/>
    <w:rsid w:val="2F810927"/>
    <w:rsid w:val="31056EE1"/>
    <w:rsid w:val="31DA4154"/>
    <w:rsid w:val="31DB4637"/>
    <w:rsid w:val="32411735"/>
    <w:rsid w:val="3301513E"/>
    <w:rsid w:val="367C2C57"/>
    <w:rsid w:val="37570300"/>
    <w:rsid w:val="37E65D0E"/>
    <w:rsid w:val="39E266EE"/>
    <w:rsid w:val="3C0B64E4"/>
    <w:rsid w:val="3D3954D4"/>
    <w:rsid w:val="3DA24FC3"/>
    <w:rsid w:val="3EA6303D"/>
    <w:rsid w:val="3F9335C1"/>
    <w:rsid w:val="4042276B"/>
    <w:rsid w:val="42613E4A"/>
    <w:rsid w:val="46B502C1"/>
    <w:rsid w:val="46E33734"/>
    <w:rsid w:val="482249FF"/>
    <w:rsid w:val="4A9763E4"/>
    <w:rsid w:val="4CD07C03"/>
    <w:rsid w:val="4E0F475B"/>
    <w:rsid w:val="4E9A62A5"/>
    <w:rsid w:val="50812FC2"/>
    <w:rsid w:val="51532904"/>
    <w:rsid w:val="51AB06E5"/>
    <w:rsid w:val="51D53AA5"/>
    <w:rsid w:val="54BE5508"/>
    <w:rsid w:val="55661CB2"/>
    <w:rsid w:val="562C4E96"/>
    <w:rsid w:val="5CC55FFF"/>
    <w:rsid w:val="5F562809"/>
    <w:rsid w:val="5F78561C"/>
    <w:rsid w:val="5FEA2191"/>
    <w:rsid w:val="60591866"/>
    <w:rsid w:val="62A06F61"/>
    <w:rsid w:val="637E1FAC"/>
    <w:rsid w:val="6B8F0831"/>
    <w:rsid w:val="6C6F12F5"/>
    <w:rsid w:val="6DB14A8F"/>
    <w:rsid w:val="6EB31428"/>
    <w:rsid w:val="700C15ED"/>
    <w:rsid w:val="731E066D"/>
    <w:rsid w:val="76901B15"/>
    <w:rsid w:val="771760E7"/>
    <w:rsid w:val="77EC1C4C"/>
    <w:rsid w:val="7BD76312"/>
    <w:rsid w:val="7CDC31AB"/>
    <w:rsid w:val="7F737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仿宋"/>
      <w:kern w:val="2"/>
      <w:sz w:val="28"/>
      <w:szCs w:val="28"/>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Body Text Indent"/>
    <w:basedOn w:val="1"/>
    <w:next w:val="4"/>
    <w:autoRedefine/>
    <w:qFormat/>
    <w:uiPriority w:val="0"/>
    <w:pPr>
      <w:tabs>
        <w:tab w:val="left" w:pos="-1440"/>
      </w:tabs>
      <w:spacing w:line="360" w:lineRule="auto"/>
      <w:ind w:left="176" w:firstLine="200" w:firstLineChars="200"/>
    </w:pPr>
    <w:rPr>
      <w:rFonts w:hAnsi="Times New Roman"/>
      <w:sz w:val="24"/>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rPr>
      <w:sz w:val="24"/>
    </w:rPr>
  </w:style>
  <w:style w:type="paragraph" w:styleId="6">
    <w:name w:val="Body Text First Indent 2"/>
    <w:basedOn w:val="3"/>
    <w:next w:val="1"/>
    <w:qFormat/>
    <w:uiPriority w:val="99"/>
    <w:pPr>
      <w:ind w:firstLine="420"/>
    </w:pPr>
  </w:style>
  <w:style w:type="character" w:styleId="9">
    <w:name w:val="Strong"/>
    <w:basedOn w:val="8"/>
    <w:autoRedefine/>
    <w:qFormat/>
    <w:uiPriority w:val="0"/>
    <w:rPr>
      <w:b/>
    </w:rPr>
  </w:style>
  <w:style w:type="character" w:styleId="10">
    <w:name w:val="Hyperlink"/>
    <w:basedOn w:val="8"/>
    <w:autoRedefine/>
    <w:qFormat/>
    <w:uiPriority w:val="0"/>
    <w:rPr>
      <w:color w:val="0000FF"/>
      <w:u w:val="single"/>
    </w:rPr>
  </w:style>
  <w:style w:type="paragraph" w:customStyle="1" w:styleId="11">
    <w:name w:val="Table Text"/>
    <w:basedOn w:val="1"/>
    <w:semiHidden/>
    <w:qFormat/>
    <w:uiPriority w:val="0"/>
    <w:rPr>
      <w:rFonts w:ascii="仿宋" w:hAnsi="仿宋" w:eastAsia="仿宋" w:cs="仿宋"/>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4911</Words>
  <Characters>5252</Characters>
  <Lines>0</Lines>
  <Paragraphs>0</Paragraphs>
  <TotalTime>275</TotalTime>
  <ScaleCrop>false</ScaleCrop>
  <LinksUpToDate>false</LinksUpToDate>
  <CharactersWithSpaces>5376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2024-04-07T09:22:00Z</dcterms:created>
  <dc:creator>赵老师</dc:creator>
  <cp:lastModifiedBy>聂红军</cp:lastModifiedBy>
  <dcterms:modified xsi:type="dcterms:W3CDTF">2024-07-24T08:40:41Z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CA15CDE7C6DE401390B4693F7F74F014_13</vt:lpwstr>
  </property>
</Properties>
</file>