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93D25">
      <w:pPr>
        <w:adjustRightInd w:val="0"/>
        <w:snapToGrid w:val="0"/>
        <w:jc w:val="distribute"/>
        <w:rPr>
          <w:rFonts w:hint="eastAsia" w:asciiTheme="majorEastAsia" w:hAnsiTheme="majorEastAsia" w:eastAsiaTheme="majorEastAsia" w:cstheme="majorEastAsia"/>
          <w:b/>
          <w:bCs/>
          <w:color w:val="FF0000"/>
          <w:w w:val="80"/>
          <w:sz w:val="84"/>
          <w:szCs w:val="84"/>
        </w:rPr>
      </w:pPr>
    </w:p>
    <w:p w14:paraId="6CE91E9E">
      <w:pPr>
        <w:adjustRightInd w:val="0"/>
        <w:snapToGrid w:val="0"/>
        <w:jc w:val="distribute"/>
        <w:rPr>
          <w:rFonts w:hint="eastAsia" w:ascii="仿宋" w:hAnsi="仿宋" w:eastAsia="仿宋" w:cs="仿宋"/>
          <w:color w:val="000000" w:themeColor="text1"/>
          <w:spacing w:val="-12"/>
          <w:sz w:val="28"/>
          <w:szCs w:val="28"/>
          <w14:textFill>
            <w14:solidFill>
              <w14:schemeClr w14:val="tx1"/>
            </w14:solidFill>
          </w14:textFill>
        </w:rPr>
      </w:pPr>
      <w:r>
        <w:rPr>
          <w:rFonts w:hint="eastAsia" w:asciiTheme="majorEastAsia" w:hAnsiTheme="majorEastAsia" w:eastAsiaTheme="majorEastAsia" w:cstheme="majorEastAsia"/>
          <w:b/>
          <w:bCs/>
          <w:color w:val="FF0000"/>
          <w:w w:val="80"/>
          <w:sz w:val="84"/>
          <w:szCs w:val="84"/>
        </w:rPr>
        <w:t>中国国际工程咨询协会</w:t>
      </w:r>
    </w:p>
    <w:p w14:paraId="3A4B306B">
      <w:pPr>
        <w:jc w:val="center"/>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71755</wp:posOffset>
                </wp:positionV>
                <wp:extent cx="5537835" cy="5715"/>
                <wp:effectExtent l="0" t="13970" r="5715" b="18415"/>
                <wp:wrapNone/>
                <wp:docPr id="2" name="直接连接符 1"/>
                <wp:cNvGraphicFramePr/>
                <a:graphic xmlns:a="http://schemas.openxmlformats.org/drawingml/2006/main">
                  <a:graphicData uri="http://schemas.microsoft.com/office/word/2010/wordprocessingShape">
                    <wps:wsp>
                      <wps:cNvCnPr/>
                      <wps:spPr>
                        <a:xfrm flipV="1">
                          <a:off x="409575" y="2267585"/>
                          <a:ext cx="5537835" cy="5715"/>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5pt;margin-top:5.65pt;height:0.45pt;width:436.05pt;z-index:251661312;mso-width-relative:page;mso-height-relative:page;" filled="f" stroked="t" coordsize="21600,21600" o:gfxdata="UEsDBAoAAAAAAIdO4kAAAAAAAAAAAAAAAAAEAAAAZHJzL1BLAwQUAAAACACHTuJAtNfBENoAAAAI&#10;AQAADwAAAGRycy9kb3ducmV2LnhtbE2PS0/DMBCE75X4D9YicWudpEqI0jg9oPISSIjSSj268ZJE&#10;jddR7D7g17Oc4LSandHst+XyYntxwtF3jhTEswgEUu1MR42Czcf9NAfhgyaje0eo4As9LKurSakL&#10;4870jqd1aASXkC+0gjaEoZDS1y1a7WduQGLv041WB5ZjI82oz1xue5lEUSat7ogvtHrAuxbrw/po&#10;Fayeti+rx+/GuEP2+mbTh13+fOuUurmOowWIgJfwF4ZffEaHipn27kjGi571POUkz3gOgv08TzMQ&#10;e14kCciqlP8fqH4AUEsDBBQAAAAIAIdO4kAFGEHXCwIAAP8DAAAOAAAAZHJzL2Uyb0RvYy54bWyt&#10;U82O0zAQviPxDpbvNGmXbEvUdA9bygVBJX7urmM3lvwnj7dpX4IXQOIGJ457521YHoOxE1bLcumB&#10;HKyxZ/zNfF8+L6+ORpODCKCcbeh0UlIiLHetsvuGfni/ebagBCKzLdPOioaeBNCr1dMny97XYuY6&#10;p1sRCIJYqHvf0C5GXxcF8E4YBhPnhcWkdMGwiNuwL9rAekQ3upiV5WXRu9D64LgAwNP1kKQjYjgH&#10;0EmpuFg7fmOEjQNqEJpFpASd8kBXeVopBY9vpQQRiW4oMo15xSYY79JarJas3gfmO8XHEdg5Izzi&#10;ZJiy2PQeas0iIzdB/QNlFA8OnIwT7kwxEMmKIItp+Uibdx3zInNBqcHfiw7/D5a/OWwDUW1DZ5RY&#10;ZvCH332+/fnp668fX3C9+/6NTJNIvYcaa6/tNow78NuQGB9lMERq5T+im7IGyIocG/q8fFHNK0pO&#10;iD27nFeLalBbHCPhmK+qi/niAgs4VlTzaU4XA2AC9gHiK+EMSUFDtbJJC1azw2uIOASW/ilJx9qS&#10;Hjstck/O0JkSHYHoxiM7sPt8GZxW7UZpna5A2O+udSAHhu7YbEr80ogI/FdZ6rJm0A11OTUw6QRr&#10;X9qWxJNH3Sw+F5pmMKKlRAt8XSlCQFZHpvQ5ldha23RBZO+ORJP4g9wp2rn2lP9CkXboizzx6OFk&#10;vId7jB++29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NfBENoAAAAIAQAADwAAAAAAAAABACAA&#10;AAAiAAAAZHJzL2Rvd25yZXYueG1sUEsBAhQAFAAAAAgAh07iQAUYQdcLAgAA/wMAAA4AAAAAAAAA&#10;AQAgAAAAKQEAAGRycy9lMm9Eb2MueG1sUEsFBgAAAAAGAAYAWQEAAKYFAAAAAA==&#10;">
                <v:fill on="f" focussize="0,0"/>
                <v:stroke weight="2.25pt" color="#FF0000" joinstyle="round"/>
                <v:imagedata o:title=""/>
                <o:lock v:ext="edit" aspectratio="f"/>
              </v:line>
            </w:pict>
          </mc:Fallback>
        </mc:AlternateContent>
      </w:r>
    </w:p>
    <w:p w14:paraId="503C4F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pPr>
      <w:r>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t>关于举办公平竞争审查规则（八部委16号令）背景下国有企业招标采购合规管理能力提升暨招投标采购全流程实务</w:t>
      </w:r>
    </w:p>
    <w:p w14:paraId="25DB10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pPr>
      <w:r>
        <w:rPr>
          <w:rFonts w:hint="eastAsia" w:ascii="华文中宋" w:hAnsi="华文中宋" w:eastAsia="华文中宋" w:cs="华文中宋"/>
          <w:b/>
          <w:bCs/>
          <w:color w:val="000000" w:themeColor="text1"/>
          <w:kern w:val="0"/>
          <w:sz w:val="32"/>
          <w:szCs w:val="32"/>
          <w:shd w:val="clear" w:color="000000" w:fill="auto"/>
          <w:lang w:val="en-US" w:eastAsia="zh-CN" w:bidi="ar-SA"/>
          <w14:textFill>
            <w14:solidFill>
              <w14:schemeClr w14:val="tx1"/>
            </w14:solidFill>
          </w14:textFill>
        </w:rPr>
        <w:t>专题培训班的通知</w:t>
      </w:r>
    </w:p>
    <w:p w14:paraId="06BE0938">
      <w:pPr>
        <w:adjustRightInd w:val="0"/>
        <w:snapToGrid w:val="0"/>
        <w:spacing w:line="300" w:lineRule="exact"/>
        <w:jc w:val="center"/>
        <w:rPr>
          <w:rFonts w:hint="eastAsia" w:ascii="仿宋" w:hAnsi="仿宋" w:eastAsia="仿宋" w:cs="仿宋"/>
          <w:b/>
          <w:bCs/>
          <w:color w:val="000000" w:themeColor="text1"/>
          <w:sz w:val="30"/>
          <w:szCs w:val="30"/>
          <w14:textFill>
            <w14:solidFill>
              <w14:schemeClr w14:val="tx1"/>
            </w14:solidFill>
          </w14:textFill>
        </w:rPr>
      </w:pPr>
    </w:p>
    <w:p w14:paraId="1B91BE4F">
      <w:pPr>
        <w:pStyle w:val="10"/>
        <w:ind w:firstLine="5399" w:firstLineChars="2100"/>
        <w:rPr>
          <w:rFonts w:hint="eastAsia" w:ascii="仿宋" w:hAnsi="仿宋" w:eastAsia="仿宋" w:cs="仿宋"/>
          <w:b/>
          <w:bCs/>
          <w:color w:val="000000" w:themeColor="text1"/>
          <w14:textFill>
            <w14:solidFill>
              <w14:schemeClr w14:val="tx1"/>
            </w14:solidFill>
          </w14:textFill>
        </w:rPr>
      </w:pPr>
      <w:r>
        <w:rPr>
          <w:rFonts w:hint="eastAsia" w:ascii="宋体" w:hAnsi="宋体" w:eastAsia="宋体" w:cs="宋体"/>
          <w:b/>
          <w:bCs/>
          <w:color w:val="000000" w:themeColor="text1"/>
          <w:spacing w:val="-12"/>
          <w:sz w:val="28"/>
          <w:szCs w:val="28"/>
          <w14:textFill>
            <w14:solidFill>
              <w14:schemeClr w14:val="tx1"/>
            </w14:solidFill>
          </w14:textFill>
        </w:rPr>
        <w:t>国咨协［202</w:t>
      </w:r>
      <w:r>
        <w:rPr>
          <w:rFonts w:hint="eastAsia" w:ascii="宋体" w:hAnsi="宋体" w:cs="宋体"/>
          <w:b/>
          <w:bCs/>
          <w:color w:val="000000" w:themeColor="text1"/>
          <w:spacing w:val="-12"/>
          <w:sz w:val="28"/>
          <w:szCs w:val="28"/>
          <w:lang w:val="en-US" w:eastAsia="zh-CN"/>
          <w14:textFill>
            <w14:solidFill>
              <w14:schemeClr w14:val="tx1"/>
            </w14:solidFill>
          </w14:textFill>
        </w:rPr>
        <w:t>4</w:t>
      </w:r>
      <w:r>
        <w:rPr>
          <w:rFonts w:hint="eastAsia" w:ascii="宋体" w:hAnsi="宋体" w:eastAsia="宋体" w:cs="宋体"/>
          <w:b/>
          <w:bCs/>
          <w:color w:val="000000" w:themeColor="text1"/>
          <w:spacing w:val="-12"/>
          <w:sz w:val="28"/>
          <w:szCs w:val="28"/>
          <w14:textFill>
            <w14:solidFill>
              <w14:schemeClr w14:val="tx1"/>
            </w14:solidFill>
          </w14:textFill>
        </w:rPr>
        <w:t>］</w:t>
      </w:r>
      <w:r>
        <w:rPr>
          <w:rFonts w:hint="eastAsia" w:ascii="宋体" w:hAnsi="宋体" w:cs="宋体"/>
          <w:b/>
          <w:bCs/>
          <w:color w:val="000000" w:themeColor="text1"/>
          <w:spacing w:val="-12"/>
          <w:sz w:val="28"/>
          <w:szCs w:val="28"/>
          <w:lang w:val="en-US" w:eastAsia="zh-CN"/>
          <w14:textFill>
            <w14:solidFill>
              <w14:schemeClr w14:val="tx1"/>
            </w14:solidFill>
          </w14:textFill>
        </w:rPr>
        <w:t>124</w:t>
      </w:r>
      <w:r>
        <w:rPr>
          <w:rFonts w:hint="eastAsia" w:ascii="宋体" w:hAnsi="宋体" w:eastAsia="宋体" w:cs="宋体"/>
          <w:b/>
          <w:bCs/>
          <w:color w:val="000000" w:themeColor="text1"/>
          <w:spacing w:val="-12"/>
          <w:sz w:val="28"/>
          <w:szCs w:val="28"/>
          <w14:textFill>
            <w14:solidFill>
              <w14:schemeClr w14:val="tx1"/>
            </w14:solidFill>
          </w14:textFill>
        </w:rPr>
        <w:t>号</w:t>
      </w:r>
    </w:p>
    <w:p w14:paraId="104E2B9F">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 w:hAnsi="仿宋" w:eastAsia="仿宋" w:cs="仿宋"/>
          <w:b/>
          <w:kern w:val="0"/>
          <w:sz w:val="28"/>
          <w:szCs w:val="28"/>
        </w:rPr>
      </w:pPr>
      <w:r>
        <w:rPr>
          <w:rFonts w:hint="eastAsia" w:ascii="仿宋" w:hAnsi="仿宋" w:eastAsia="仿宋" w:cs="仿宋"/>
          <w:b/>
          <w:kern w:val="0"/>
          <w:sz w:val="28"/>
          <w:szCs w:val="28"/>
        </w:rPr>
        <w:t>各有关单位：</w:t>
      </w:r>
    </w:p>
    <w:p w14:paraId="026258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jc w:val="left"/>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为全面推动我国市场由大到强转变，建设高标准市场体系，构建高水平社会主义市场经济体制提供坚强支撑，2023年中共中央 国务院发布了《关于加快建设全国统一大市场的意见》，全力推动招标采购制度建设和政策环境优化，维护招投标采购市场公平竞争秩序， 持续清理招标采购领域违反统一市场建设的规定和做法， 推动招标采购高质量发展。国家发改委等8部委于2024年3月25日联合印发了《招标投标领域公平竞争审查规则》，规则从审查标准、审查机制、监督管理等方面为加强和规范招标投标领域公平竞争审查，维护公平竞争市场秩序，做出了明确规定。</w:t>
      </w:r>
    </w:p>
    <w:p w14:paraId="193E95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560" w:firstLineChars="200"/>
        <w:jc w:val="left"/>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为推动国有企业采购行为规范化，提高采购效率、节约经营成本、降低管理风险、提升国有资金使用效益。帮助采购人建立系统的适合本企业依法合规的招标采购流程标准，赋能从业人员采购管理水平。我会决定举办“公平竞争审查规则（八部委16号令）背景下国有企业招标采购合规管理能力提升暨招投标采购全流程实务专题培训班”。本次培训班由中国国际工程咨询协会主办，</w:t>
      </w:r>
      <w:r>
        <w:rPr>
          <w:rFonts w:hint="eastAsia" w:ascii="仿宋" w:hAnsi="仿宋" w:eastAsia="仿宋" w:cs="仿宋"/>
          <w:bCs/>
          <w:color w:val="000000"/>
          <w:sz w:val="28"/>
          <w:szCs w:val="28"/>
        </w:rPr>
        <w:t>北京</w:t>
      </w:r>
      <w:r>
        <w:rPr>
          <w:rFonts w:hint="eastAsia" w:ascii="仿宋" w:hAnsi="仿宋" w:eastAsia="仿宋" w:cs="仿宋"/>
          <w:bCs/>
          <w:color w:val="000000"/>
          <w:sz w:val="28"/>
          <w:szCs w:val="28"/>
          <w:lang w:val="en-US" w:eastAsia="zh-CN"/>
        </w:rPr>
        <w:t>利思</w:t>
      </w:r>
      <w:r>
        <w:rPr>
          <w:rFonts w:hint="eastAsia" w:ascii="仿宋" w:hAnsi="仿宋" w:eastAsia="仿宋" w:cs="仿宋"/>
          <w:bCs/>
          <w:color w:val="000000"/>
          <w:sz w:val="28"/>
          <w:szCs w:val="28"/>
        </w:rPr>
        <w:t>教育咨询有限公司</w:t>
      </w:r>
      <w:r>
        <w:rPr>
          <w:rFonts w:hint="eastAsia" w:ascii="仿宋" w:hAnsi="仿宋" w:eastAsia="仿宋" w:cs="仿宋"/>
          <w:color w:val="000000" w:themeColor="text1"/>
          <w:kern w:val="0"/>
          <w:sz w:val="28"/>
          <w:szCs w:val="28"/>
          <w:lang w:val="en-US" w:eastAsia="zh-CN" w:bidi="ar-SA"/>
          <w14:textFill>
            <w14:solidFill>
              <w14:schemeClr w14:val="tx1"/>
            </w14:solidFill>
          </w14:textFill>
        </w:rPr>
        <w:t>承办，请各单位积极组织相关人员参加。现将有关事项通知如下：</w:t>
      </w:r>
    </w:p>
    <w:p w14:paraId="6BA6530D">
      <w:pPr>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一、培训收益</w:t>
      </w:r>
    </w:p>
    <w:p w14:paraId="65D7FFB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1.了解最新的法规政策引流趋势</w:t>
      </w:r>
    </w:p>
    <w:p w14:paraId="65D8DE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 掌握各种非招标采购方式的全流程操作实务与案例解析；</w:t>
      </w:r>
    </w:p>
    <w:p w14:paraId="2FF54F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3.了解近年来越发普及的新的采购组织方式， 包括框架协议采购等；</w:t>
      </w:r>
    </w:p>
    <w:p w14:paraId="4D9431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4.理解招标采购关键程序、疑难问题解析与法律风险防范；</w:t>
      </w:r>
    </w:p>
    <w:p w14:paraId="293193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5.掌握招标采购活动中争议问题的解决策略和典型案例分析。</w:t>
      </w:r>
    </w:p>
    <w:p w14:paraId="720DF7C9">
      <w:pPr>
        <w:keepNext w:val="0"/>
        <w:keepLines w:val="0"/>
        <w:pageBreakBefore w:val="0"/>
        <w:kinsoku/>
        <w:wordWrap/>
        <w:overflowPunct/>
        <w:topLinePunct w:val="0"/>
        <w:autoSpaceDE/>
        <w:autoSpaceDN/>
        <w:bidi w:val="0"/>
        <w:adjustRightInd/>
        <w:snapToGrid/>
        <w:spacing w:line="500" w:lineRule="exact"/>
        <w:textAlignment w:val="auto"/>
        <w:rPr>
          <w:rFonts w:hint="default"/>
          <w:lang w:val="en-US"/>
        </w:rPr>
      </w:pPr>
      <w:r>
        <w:rPr>
          <w:rFonts w:hint="eastAsia" w:ascii="仿宋" w:hAnsi="仿宋" w:eastAsia="仿宋" w:cs="仿宋"/>
          <w:b/>
          <w:bCs/>
          <w:sz w:val="28"/>
          <w:szCs w:val="28"/>
          <w:lang w:val="en-US" w:eastAsia="zh-CN"/>
        </w:rPr>
        <w:t>二、培训内容</w:t>
      </w:r>
    </w:p>
    <w:p w14:paraId="43F9AA3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 xml:space="preserve"> 第一部分：招标投标相关法律法规制度问题解读</w:t>
      </w:r>
    </w:p>
    <w:p w14:paraId="0A1E34B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1.八部委《招标投标领域公平竞争审查规则》重点解读：审查标准、审查机制、监督管理；</w:t>
      </w:r>
    </w:p>
    <w:p w14:paraId="5F63FF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2.使用财政性资金和非财政性资金的项目采购方式适用；</w:t>
      </w:r>
    </w:p>
    <w:p w14:paraId="0ED37EF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3.《政府采购公告和公示信息格式规范 （2020 年版） 》解析；</w:t>
      </w:r>
    </w:p>
    <w:p w14:paraId="224CA6B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 xml:space="preserve">4.采购人从“旁观者”到“主导者”权责对等分析与电子招投标实务分析； </w:t>
      </w:r>
    </w:p>
    <w:p w14:paraId="38A848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5.财政部《关于进一步加大政府采购支持中小企业力度的通知》 （财库 〔2022〕 19 号） 解析；</w:t>
      </w:r>
    </w:p>
    <w:p w14:paraId="70172B7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 xml:space="preserve">6.《加快建设全国统一大市场的意见》对公共资源交易领域的影响分析； </w:t>
      </w:r>
    </w:p>
    <w:p w14:paraId="38616F0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7.依法必须进行招标的有关规定；可以不进行招标的有关规定。</w:t>
      </w:r>
    </w:p>
    <w:p w14:paraId="0AF00207">
      <w:pPr>
        <w:pStyle w:val="31"/>
        <w:spacing w:before="99" w:line="183" w:lineRule="auto"/>
        <w:ind w:left="105"/>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第二部分：招标采购风险防范与实操要领</w:t>
      </w:r>
    </w:p>
    <w:p w14:paraId="2A5BAFF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（一）招标文件的编写方法与技巧</w:t>
      </w:r>
    </w:p>
    <w:p w14:paraId="707F66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1．招标文件编制概述</w:t>
      </w:r>
    </w:p>
    <w:p w14:paraId="488F95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（1）招标文件的三大组成部分；（2）招标文件的四大核心内容；</w:t>
      </w:r>
    </w:p>
    <w:p w14:paraId="5746074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（3）两种评标标准；（4）招标文件编制的七大法律风险</w:t>
      </w:r>
    </w:p>
    <w:p w14:paraId="2B2AB3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2．资格条件的设定</w:t>
      </w:r>
    </w:p>
    <w:p w14:paraId="4737B67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（1）资格条件设定不合理的三类表现方式；（2）如何合理的设定资格条件</w:t>
      </w:r>
    </w:p>
    <w:p w14:paraId="22AC2BD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3．项目需求及实质性条款的设定</w:t>
      </w:r>
    </w:p>
    <w:p w14:paraId="00ACC8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（1）技术需求编制不合理的两种表现形式；（2）项目负责人的最大困境</w:t>
      </w:r>
    </w:p>
    <w:p w14:paraId="7C90DD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（3）负责人提高编标能力的两个关键；（4）技术需求中谨慎设定实质性条款</w:t>
      </w:r>
    </w:p>
    <w:p w14:paraId="55B8E2F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4．评标标准的设定及综合评估法的使用详解</w:t>
      </w:r>
    </w:p>
    <w:p w14:paraId="791EA0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（1）经评审的最低投标价法的三种使用情形；</w:t>
      </w:r>
    </w:p>
    <w:p w14:paraId="152B60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（2）综合评估法设定的两大基本原则； （3）综合评分法的三种分值类型</w:t>
      </w:r>
    </w:p>
    <w:p w14:paraId="10B60B6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5．价格分的两类优先原则</w:t>
      </w:r>
    </w:p>
    <w:p w14:paraId="0D8A29C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（1）价格分设定的主要作用；（2）价格分设定的三类具体方法</w:t>
      </w:r>
    </w:p>
    <w:p w14:paraId="41E7330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（3）客观分的两大作用； （4）设定客观分的四个维度</w:t>
      </w:r>
    </w:p>
    <w:p w14:paraId="6717BB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（5）客观分设定的经验值；（6）主观分的两大作用</w:t>
      </w:r>
    </w:p>
    <w:p w14:paraId="5A0E03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 xml:space="preserve">（7）设定主观分的四个维度；（8）主观分设定的经验值 </w:t>
      </w:r>
    </w:p>
    <w:p w14:paraId="172439F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6.招标五阶段和把控的风险点：</w:t>
      </w:r>
    </w:p>
    <w:p w14:paraId="48FC65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 xml:space="preserve">招标、投标、开标、评标、中标环节的监督管理及法律责任； </w:t>
      </w:r>
    </w:p>
    <w:p w14:paraId="32BD01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7.编制招标文件：</w:t>
      </w:r>
    </w:p>
    <w:p w14:paraId="48C312FE">
      <w:pPr>
        <w:keepNext w:val="0"/>
        <w:keepLines w:val="0"/>
        <w:pageBreakBefore w:val="0"/>
        <w:widowControl w:val="0"/>
        <w:kinsoku/>
        <w:wordWrap/>
        <w:overflowPunct/>
        <w:topLinePunct w:val="0"/>
        <w:autoSpaceDE/>
        <w:autoSpaceDN/>
        <w:bidi w:val="0"/>
        <w:adjustRightInd/>
        <w:snapToGrid/>
        <w:spacing w:line="500" w:lineRule="exact"/>
        <w:ind w:left="559" w:leftChars="266" w:firstLine="0" w:firstLineChars="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 xml:space="preserve">（1）编写技术指标的策略； （2）编写评分标准的策略与法律风险；（3）编写评分标准的三大策略； （4）政府采购法中的禁止性规定； </w:t>
      </w:r>
    </w:p>
    <w:p w14:paraId="06CF5F4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（5）地方性负面清单的规定；</w:t>
      </w:r>
    </w:p>
    <w:p w14:paraId="7C4945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8.招标文件编制的要素与防控点</w:t>
      </w:r>
    </w:p>
    <w:p w14:paraId="3138F4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9.向不同部门收集招标文件制作所需的信息</w:t>
      </w:r>
    </w:p>
    <w:p w14:paraId="539B464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 招标文件所需信息的分类；(2)招标文件所需文件的获取；</w:t>
      </w:r>
    </w:p>
    <w:p w14:paraId="209AB8C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(3)招标文件所需信息的选择；(4)把合适的信息安排到合适的文件位置；（5）要件思维： 缺一不可 7 要素</w:t>
      </w:r>
    </w:p>
    <w:p w14:paraId="6F9267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 xml:space="preserve">10、高质量招标文件的三性原则： </w:t>
      </w:r>
    </w:p>
    <w:p w14:paraId="70F6A9A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 合法性： 依法合规， 要件合法</w:t>
      </w:r>
    </w:p>
    <w:p w14:paraId="0D72EBA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（2） 针对性： 针对项目， 避免大而空 （3） 完整性体现出要素齐全</w:t>
      </w:r>
    </w:p>
    <w:p w14:paraId="1F1E308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（二）案例解析： 为什么通过合法的招标流程， 中标结果却不是采购人想要的？</w:t>
      </w:r>
    </w:p>
    <w:p w14:paraId="06EC8C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1.政府采购项目的全景分析：2.采购人的核心目的；</w:t>
      </w:r>
    </w:p>
    <w:p w14:paraId="0BDD700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 xml:space="preserve"> 3.评标专家的核心利益；4.招标公司的思维矩阵模式； </w:t>
      </w:r>
    </w:p>
    <w:p w14:paraId="12526F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000000" w:themeColor="text1"/>
          <w:kern w:val="0"/>
          <w:sz w:val="28"/>
          <w:szCs w:val="28"/>
          <w:lang w:val="en-US" w:eastAsia="zh-CN" w:bidi="ar-SA"/>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5.投标人的核心利益； 6.监管单位的核心想法</w:t>
      </w:r>
    </w:p>
    <w:p w14:paraId="50B46FA5">
      <w:pPr>
        <w:pStyle w:val="31"/>
        <w:spacing w:before="99" w:line="183" w:lineRule="auto"/>
        <w:ind w:left="105"/>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第三部分： 开标、评标与定标实务分析</w:t>
      </w:r>
    </w:p>
    <w:p w14:paraId="6A7D19A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1.开标过程的组织；</w:t>
      </w:r>
    </w:p>
    <w:p w14:paraId="1156896D">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（1）开标的程序、内容和组织实施要点；（2）开标异议与答复中的注意事项；</w:t>
      </w:r>
    </w:p>
    <w:p w14:paraId="657D99B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2.评标办法设计与评标办法的选择；</w:t>
      </w:r>
    </w:p>
    <w:p w14:paraId="61EC8C1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（1）评标的基本原则及评标方法的分类；</w:t>
      </w:r>
    </w:p>
    <w:p w14:paraId="78ED996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（2）经评审的最低投标价法和综合评估法的适用范围、评审步骤操作要点；</w:t>
      </w:r>
    </w:p>
    <w:p w14:paraId="7B74DD2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（3）适用于特殊项目的评标办法 （如投票法、两步法等） 简介；</w:t>
      </w:r>
    </w:p>
    <w:p w14:paraId="29BFD25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（4）评标方案与评标细则的制订； </w:t>
      </w:r>
    </w:p>
    <w:p w14:paraId="3661944B">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3.经评审的最低投标价法的设计；</w:t>
      </w:r>
    </w:p>
    <w:p w14:paraId="5E3FBB72">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（1）经评审的最低投标价法适用的项目特点；</w:t>
      </w:r>
    </w:p>
    <w:p w14:paraId="7822F8CD">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（2）经评审的最低投标价法的商务因素折价方法；</w:t>
      </w:r>
    </w:p>
    <w:p w14:paraId="02C44ED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（3）经评审的最低投标价法的技术因素折价方法； </w:t>
      </w:r>
    </w:p>
    <w:p w14:paraId="39ADBD8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4.综合评分法的设计；</w:t>
      </w:r>
    </w:p>
    <w:p w14:paraId="383213D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（1）综合评分法在不同类型项目中的综合评审因素的确定；</w:t>
      </w:r>
    </w:p>
    <w:p w14:paraId="64E0FD3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（2）各综合评审因素权重的设定；（3）价格分计算的设计； </w:t>
      </w:r>
    </w:p>
    <w:p w14:paraId="234AECF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（4）综合评审因素中的常见小项评审因素；（5）小项打分方法设计；</w:t>
      </w:r>
    </w:p>
    <w:p w14:paraId="5ECFB0E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5.定标、中标；</w:t>
      </w:r>
    </w:p>
    <w:p w14:paraId="79D8FE71">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（1）招标文件编制不当引发的问题及防范</w:t>
      </w:r>
    </w:p>
    <w:p w14:paraId="7C617FDB">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（2）恶意低价；</w:t>
      </w:r>
    </w:p>
    <w:p w14:paraId="60F5FA0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（3）低价优先导致的采购档次偏低；</w:t>
      </w:r>
    </w:p>
    <w:p w14:paraId="4E91CF7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（4）竞争不足导致的高价中标；</w:t>
      </w:r>
    </w:p>
    <w:p w14:paraId="3864572B">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（5）评审因素不合理导致的高价中标；</w:t>
      </w:r>
    </w:p>
    <w:p w14:paraId="63F4746F">
      <w:pPr>
        <w:pStyle w:val="31"/>
        <w:spacing w:before="99" w:line="183" w:lineRule="auto"/>
        <w:ind w:left="105"/>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第四部分：招标采购方式与对比分析及适用情形</w:t>
      </w:r>
    </w:p>
    <w:p w14:paraId="2BEB8F7B">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1.招标采购工作的战略规划及四角采购模型 </w:t>
      </w:r>
    </w:p>
    <w:p w14:paraId="7D1CDA4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2.六种基本采购方式对比及图解</w:t>
      </w:r>
    </w:p>
    <w:p w14:paraId="1548CB11">
      <w:pPr>
        <w:keepNext w:val="0"/>
        <w:keepLines w:val="0"/>
        <w:pageBreakBefore w:val="0"/>
        <w:widowControl/>
        <w:kinsoku/>
        <w:wordWrap/>
        <w:overflowPunct/>
        <w:topLinePunct w:val="0"/>
        <w:autoSpaceDE/>
        <w:autoSpaceDN/>
        <w:bidi w:val="0"/>
        <w:adjustRightInd/>
        <w:snapToGrid/>
        <w:spacing w:line="500" w:lineRule="exact"/>
        <w:ind w:left="559" w:leftChars="266" w:firstLine="0" w:firstLine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 公开招标；（2） 邀请招标；（3）竞争性谈判 ；（4）询价； （5）单一来源采购； （6）竞争性磋商</w:t>
      </w:r>
    </w:p>
    <w:p w14:paraId="6A283341">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3.各个方式的适用条件；</w:t>
      </w:r>
    </w:p>
    <w:p w14:paraId="334D488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4.进场全流程审核点</w:t>
      </w:r>
    </w:p>
    <w:p w14:paraId="5D7B0E6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（1）招标前期的方案评审；（2）招标过程中的流程核审；</w:t>
      </w:r>
    </w:p>
    <w:p w14:paraId="08ED4CD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（3）进场交易的报批把关 ；（4）进场的综合监督</w:t>
      </w:r>
    </w:p>
    <w:p w14:paraId="4499F79F">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5.现场流程解析： 开标全流程注意点  </w:t>
      </w:r>
    </w:p>
    <w:p w14:paraId="326C6B6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6．评标全流程注意点 （1）专家抽取 （2）场地分区与交易中心监督</w:t>
      </w:r>
    </w:p>
    <w:p w14:paraId="23E279B0">
      <w:pPr>
        <w:pStyle w:val="31"/>
        <w:keepNext w:val="0"/>
        <w:keepLines w:val="0"/>
        <w:pageBreakBefore w:val="0"/>
        <w:kinsoku/>
        <w:wordWrap/>
        <w:overflowPunct/>
        <w:topLinePunct w:val="0"/>
        <w:autoSpaceDE/>
        <w:autoSpaceDN/>
        <w:bidi w:val="0"/>
        <w:adjustRightInd/>
        <w:snapToGrid/>
        <w:spacing w:before="99" w:line="500" w:lineRule="exact"/>
        <w:ind w:left="105" w:firstLine="560" w:firstLineChars="200"/>
        <w:textAlignment w:val="auto"/>
        <w:rPr>
          <w:rFonts w:hint="default"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sz w:val="28"/>
          <w:szCs w:val="28"/>
          <w:lang w:val="en-US" w:eastAsia="zh-CN"/>
        </w:rPr>
        <w:t>7.开标、评标与定标的组织及实务操作与案例分析；</w:t>
      </w:r>
    </w:p>
    <w:p w14:paraId="1B48556D">
      <w:pPr>
        <w:pStyle w:val="31"/>
        <w:keepNext w:val="0"/>
        <w:keepLines w:val="0"/>
        <w:pageBreakBefore w:val="0"/>
        <w:kinsoku/>
        <w:wordWrap/>
        <w:overflowPunct/>
        <w:topLinePunct w:val="0"/>
        <w:autoSpaceDE/>
        <w:autoSpaceDN/>
        <w:bidi w:val="0"/>
        <w:adjustRightInd/>
        <w:snapToGrid/>
        <w:spacing w:before="99" w:line="500" w:lineRule="exact"/>
        <w:ind w:left="105"/>
        <w:textAlignment w:val="auto"/>
        <w:rPr>
          <w:rFonts w:hint="eastAsia" w:ascii="仿宋" w:hAnsi="仿宋" w:eastAsia="仿宋" w:cs="仿宋"/>
          <w:b/>
          <w:bCs/>
          <w:color w:val="000000" w:themeColor="text1"/>
          <w:kern w:val="0"/>
          <w:sz w:val="28"/>
          <w:szCs w:val="28"/>
          <w:lang w:val="en-US" w:eastAsia="zh-CN" w:bidi="ar-SA"/>
          <w14:textFill>
            <w14:solidFill>
              <w14:schemeClr w14:val="tx1"/>
            </w14:solidFill>
          </w14:textFill>
        </w:rPr>
      </w:pPr>
      <w:r>
        <w:rPr>
          <w:rFonts w:hint="eastAsia" w:ascii="仿宋" w:hAnsi="仿宋" w:eastAsia="仿宋" w:cs="仿宋"/>
          <w:b/>
          <w:bCs/>
          <w:color w:val="000000" w:themeColor="text1"/>
          <w:kern w:val="0"/>
          <w:sz w:val="28"/>
          <w:szCs w:val="28"/>
          <w:lang w:val="en-US" w:eastAsia="zh-CN" w:bidi="ar-SA"/>
          <w14:textFill>
            <w14:solidFill>
              <w14:schemeClr w14:val="tx1"/>
            </w14:solidFill>
          </w14:textFill>
        </w:rPr>
        <w:t>第五部分：招标采购疑难问题解析</w:t>
      </w:r>
    </w:p>
    <w:p w14:paraId="71B2B636">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1.招标资格与备案： 对中央和地方招投标工作的指导与监督检查；</w:t>
      </w:r>
    </w:p>
    <w:p w14:paraId="50ED3C87">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2.政府采购及工程招投标招标采购文件编制中的注意事项；</w:t>
      </w:r>
    </w:p>
    <w:p w14:paraId="6B0C4509">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3.政府采购工程、货物、服务操作实务与典型案例分析； </w:t>
      </w:r>
    </w:p>
    <w:p w14:paraId="501AE6CC">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4.违反政府采购法律强制性规定应承担的法律责任；</w:t>
      </w:r>
    </w:p>
    <w:p w14:paraId="614F6C64">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5.法律法规强制性规定与采购人内控制度的关系界定等； </w:t>
      </w:r>
    </w:p>
    <w:p w14:paraId="6B133525">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6.合同订立、履约管理及履约验收等要点环节解析；</w:t>
      </w:r>
    </w:p>
    <w:p w14:paraId="43D8278A">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7.围标串标的表现形式、认定、处理各环节问题解析及案例分享； </w:t>
      </w:r>
    </w:p>
    <w:p w14:paraId="3252DD2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8.哪些投诉可以不予受理？ 哪些情形可以驳回投诉？</w:t>
      </w:r>
    </w:p>
    <w:p w14:paraId="741A67E0">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9.招标采购争议中行政复议和行政诉讼区别与联系；</w:t>
      </w:r>
    </w:p>
    <w:p w14:paraId="01798D71">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10.招标采购活动实施效果评价与大数据在后评价中的应用； </w:t>
      </w:r>
    </w:p>
    <w:p w14:paraId="29DF259E">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11.异议、质疑、投诉中的暂停和恢复暂停的规则有哪些?</w:t>
      </w:r>
    </w:p>
    <w:p w14:paraId="58408365">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b/>
          <w:kern w:val="0"/>
          <w:sz w:val="28"/>
          <w:szCs w:val="28"/>
        </w:rPr>
      </w:pPr>
      <w:r>
        <w:rPr>
          <w:rFonts w:hint="eastAsia" w:ascii="仿宋" w:hAnsi="仿宋" w:eastAsia="仿宋" w:cs="仿宋"/>
          <w:b/>
          <w:kern w:val="0"/>
          <w:sz w:val="28"/>
          <w:szCs w:val="28"/>
          <w:lang w:val="en-US" w:eastAsia="zh-CN"/>
        </w:rPr>
        <w:t>三</w:t>
      </w:r>
      <w:r>
        <w:rPr>
          <w:rFonts w:hint="eastAsia" w:ascii="仿宋" w:hAnsi="仿宋" w:eastAsia="仿宋" w:cs="仿宋"/>
          <w:b/>
          <w:kern w:val="0"/>
          <w:sz w:val="28"/>
          <w:szCs w:val="28"/>
        </w:rPr>
        <w:t>、参加对象</w:t>
      </w:r>
    </w:p>
    <w:p w14:paraId="4D6EF6D1">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各招标采购行政主管部门、国资委管理部门、各公管办、行政服务中心、公共资源交易中心、政府采购中心等相关人员；</w:t>
      </w:r>
    </w:p>
    <w:p w14:paraId="299AA068">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各单位从事招标采购、基建工程、纪检监察、财务、审计、合同、法务等部门相关人员</w:t>
      </w:r>
      <w:r>
        <w:rPr>
          <w:rFonts w:hint="eastAsia" w:ascii="仿宋" w:hAnsi="仿宋" w:eastAsia="仿宋" w:cs="仿宋"/>
          <w:sz w:val="28"/>
          <w:szCs w:val="28"/>
          <w:lang w:eastAsia="zh-CN"/>
        </w:rPr>
        <w:t>；</w:t>
      </w:r>
    </w:p>
    <w:p w14:paraId="1296A67D">
      <w:pPr>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3.招标代理机构及其他相关人员。</w:t>
      </w:r>
    </w:p>
    <w:p w14:paraId="498B5C3F">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rPr>
          <w:rFonts w:hint="eastAsia" w:ascii="仿宋" w:hAnsi="仿宋" w:eastAsia="仿宋" w:cs="仿宋"/>
          <w:b/>
          <w:color w:val="333333"/>
          <w:sz w:val="28"/>
          <w:szCs w:val="28"/>
          <w:shd w:val="clear" w:color="auto" w:fill="FFFFFF"/>
        </w:rPr>
      </w:pPr>
      <w:r>
        <w:rPr>
          <w:rFonts w:hint="eastAsia" w:ascii="仿宋" w:hAnsi="仿宋" w:eastAsia="仿宋" w:cs="仿宋"/>
          <w:b/>
          <w:bCs/>
          <w:color w:val="auto"/>
          <w:sz w:val="28"/>
          <w:szCs w:val="28"/>
          <w:lang w:val="en-US" w:eastAsia="zh-CN"/>
        </w:rPr>
        <w:t>四、</w:t>
      </w:r>
      <w:r>
        <w:rPr>
          <w:rFonts w:hint="eastAsia" w:ascii="仿宋" w:hAnsi="仿宋" w:eastAsia="仿宋" w:cs="仿宋"/>
          <w:b/>
          <w:color w:val="333333"/>
          <w:sz w:val="28"/>
          <w:szCs w:val="28"/>
          <w:shd w:val="clear" w:color="auto" w:fill="FFFFFF"/>
        </w:rPr>
        <w:t>授课师资</w:t>
      </w:r>
    </w:p>
    <w:p w14:paraId="17BB44E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00" w:firstLineChars="200"/>
        <w:textAlignment w:val="auto"/>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pPr>
      <w:r>
        <w:rPr>
          <w:rFonts w:hint="eastAsia" w:ascii="仿宋" w:hAnsi="仿宋" w:eastAsia="仿宋" w:cs="仿宋"/>
          <w:color w:val="000000"/>
          <w:spacing w:val="10"/>
          <w:kern w:val="2"/>
          <w:sz w:val="28"/>
          <w:szCs w:val="28"/>
          <w:shd w:val="clear" w:color="auto" w:fill="auto"/>
          <w:lang w:val="en-US" w:eastAsia="zh-CN"/>
        </w:rPr>
        <w:t>拟邀请国家发改委、中国招标投标协会等有关部门的专家学者现场授课，结合经典案例分析，并进行互动交流和现场答疑。</w:t>
      </w:r>
    </w:p>
    <w:p w14:paraId="173D01BC">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t>五、</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时间地点</w:t>
      </w:r>
    </w:p>
    <w:p w14:paraId="69119B8A">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2024年10月18日—10月21日 南京市 （18日全天报到）</w:t>
      </w:r>
    </w:p>
    <w:p w14:paraId="4103F115">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2024年10月24日—10月27日 厦门市 （24日全天报到）</w:t>
      </w:r>
    </w:p>
    <w:p w14:paraId="3FB71959">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2024年11月08日—11月11日 长沙市 （08日全天报到）</w:t>
      </w:r>
    </w:p>
    <w:p w14:paraId="0D5087B1">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2024年11月22日—11月25日 海口市 （22日全天报到）</w:t>
      </w:r>
    </w:p>
    <w:p w14:paraId="729A041F">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2024年12月13日—12月16日 武汉市 （13日全天报到）</w:t>
      </w:r>
    </w:p>
    <w:p w14:paraId="77F15A47">
      <w:pPr>
        <w:keepNext w:val="0"/>
        <w:keepLines w:val="0"/>
        <w:pageBreakBefore w:val="0"/>
        <w:kinsoku/>
        <w:wordWrap/>
        <w:overflowPunct/>
        <w:topLinePunct w:val="0"/>
        <w:autoSpaceDE/>
        <w:autoSpaceDN/>
        <w:bidi w:val="0"/>
        <w:adjustRightInd/>
        <w:snapToGrid/>
        <w:spacing w:line="46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2024年12月20日—12月23日 成都市 （20日全天报到）</w:t>
      </w:r>
    </w:p>
    <w:p w14:paraId="68A5F76A">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2025年01月10日—01月13日 厦门市 （10日全天报到）</w:t>
      </w:r>
    </w:p>
    <w:p w14:paraId="020F50AF">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bCs/>
          <w:snapToGrid w:val="0"/>
          <w:color w:val="000000" w:themeColor="text1"/>
          <w:kern w:val="20"/>
          <w:position w:val="-4"/>
          <w:sz w:val="28"/>
          <w:szCs w:val="28"/>
          <w14:textFill>
            <w14:solidFill>
              <w14:schemeClr w14:val="tx1"/>
            </w14:solidFill>
          </w14:textFill>
        </w:rPr>
      </w:pPr>
      <w:r>
        <w:rPr>
          <w:rFonts w:hint="eastAsia" w:ascii="仿宋" w:hAnsi="仿宋" w:eastAsia="仿宋" w:cs="仿宋"/>
          <w:b/>
          <w:bCs/>
          <w:snapToGrid w:val="0"/>
          <w:color w:val="000000" w:themeColor="text1"/>
          <w:kern w:val="20"/>
          <w:position w:val="-4"/>
          <w:sz w:val="28"/>
          <w:szCs w:val="28"/>
          <w:lang w:val="en-US" w:eastAsia="zh-CN"/>
          <w14:textFill>
            <w14:solidFill>
              <w14:schemeClr w14:val="tx1"/>
            </w14:solidFill>
          </w14:textFill>
        </w:rPr>
        <w:t>六</w:t>
      </w:r>
      <w:r>
        <w:rPr>
          <w:rFonts w:hint="eastAsia" w:ascii="仿宋" w:hAnsi="仿宋" w:eastAsia="仿宋" w:cs="仿宋"/>
          <w:b/>
          <w:bCs/>
          <w:snapToGrid w:val="0"/>
          <w:color w:val="000000" w:themeColor="text1"/>
          <w:kern w:val="20"/>
          <w:position w:val="-4"/>
          <w:sz w:val="28"/>
          <w:szCs w:val="28"/>
          <w14:textFill>
            <w14:solidFill>
              <w14:schemeClr w14:val="tx1"/>
            </w14:solidFill>
          </w14:textFill>
        </w:rPr>
        <w:t>、收费标准</w:t>
      </w:r>
    </w:p>
    <w:p w14:paraId="7687FD10">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spacing w:val="10"/>
          <w:sz w:val="28"/>
          <w:szCs w:val="28"/>
        </w:rPr>
      </w:pPr>
      <w:r>
        <w:rPr>
          <w:rFonts w:hint="eastAsia" w:ascii="仿宋" w:hAnsi="仿宋" w:eastAsia="仿宋" w:cs="仿宋"/>
          <w:color w:val="000000"/>
          <w:spacing w:val="10"/>
          <w:sz w:val="28"/>
          <w:szCs w:val="28"/>
        </w:rPr>
        <w:t>A.</w:t>
      </w:r>
      <w:r>
        <w:rPr>
          <w:rFonts w:hint="eastAsia" w:ascii="仿宋" w:hAnsi="仿宋" w:eastAsia="仿宋" w:cs="仿宋"/>
          <w:color w:val="000000"/>
          <w:spacing w:val="10"/>
          <w:sz w:val="28"/>
          <w:szCs w:val="28"/>
          <w:lang w:val="en-US" w:eastAsia="zh-CN"/>
        </w:rPr>
        <w:t>388</w:t>
      </w:r>
      <w:r>
        <w:rPr>
          <w:rFonts w:hint="eastAsia" w:ascii="仿宋" w:hAnsi="仿宋" w:eastAsia="仿宋" w:cs="仿宋"/>
          <w:color w:val="000000"/>
          <w:spacing w:val="10"/>
          <w:sz w:val="28"/>
          <w:szCs w:val="28"/>
        </w:rPr>
        <w:t>0元/人（含培训、资料、电子课件、场地及培训期间午餐</w:t>
      </w:r>
      <w:r>
        <w:rPr>
          <w:rFonts w:hint="eastAsia" w:ascii="仿宋" w:hAnsi="仿宋" w:eastAsia="仿宋" w:cs="仿宋"/>
          <w:color w:val="000000"/>
          <w:spacing w:val="10"/>
          <w:sz w:val="28"/>
          <w:szCs w:val="28"/>
          <w:lang w:eastAsia="zh-CN"/>
        </w:rPr>
        <w:t>、</w:t>
      </w:r>
      <w:r>
        <w:rPr>
          <w:rFonts w:hint="eastAsia" w:ascii="仿宋" w:hAnsi="仿宋" w:eastAsia="仿宋" w:cs="仿宋"/>
          <w:color w:val="000000"/>
          <w:spacing w:val="10"/>
          <w:sz w:val="28"/>
          <w:szCs w:val="28"/>
          <w:lang w:val="en-US" w:eastAsia="zh-CN"/>
        </w:rPr>
        <w:t>结业证书</w:t>
      </w:r>
      <w:r>
        <w:rPr>
          <w:rFonts w:hint="eastAsia" w:ascii="仿宋" w:hAnsi="仿宋" w:eastAsia="仿宋" w:cs="仿宋"/>
          <w:color w:val="000000"/>
          <w:spacing w:val="10"/>
          <w:sz w:val="28"/>
          <w:szCs w:val="28"/>
        </w:rPr>
        <w:t>），住宿统一安排，费用自理。</w:t>
      </w:r>
    </w:p>
    <w:p w14:paraId="71583B80">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rPr>
        <w:t>B.5</w:t>
      </w:r>
      <w:r>
        <w:rPr>
          <w:rFonts w:hint="eastAsia" w:ascii="仿宋" w:hAnsi="仿宋" w:eastAsia="仿宋" w:cs="仿宋"/>
          <w:color w:val="000000"/>
          <w:spacing w:val="10"/>
          <w:sz w:val="28"/>
          <w:szCs w:val="28"/>
          <w:lang w:val="en-US" w:eastAsia="zh-CN"/>
        </w:rPr>
        <w:t>88</w:t>
      </w:r>
      <w:r>
        <w:rPr>
          <w:rFonts w:hint="eastAsia" w:ascii="仿宋" w:hAnsi="仿宋" w:eastAsia="仿宋" w:cs="仿宋"/>
          <w:color w:val="000000"/>
          <w:spacing w:val="10"/>
          <w:sz w:val="28"/>
          <w:szCs w:val="28"/>
        </w:rPr>
        <w:t>0元/人（含培训、资料、电子课件、场地、证书及培训期间午餐），住宿统一安排，费用自理。</w:t>
      </w:r>
      <w:r>
        <w:rPr>
          <w:rFonts w:hint="eastAsia" w:ascii="仿宋" w:hAnsi="仿宋" w:eastAsia="仿宋" w:cs="仿宋"/>
          <w:color w:val="000000"/>
          <w:spacing w:val="10"/>
          <w:sz w:val="28"/>
          <w:szCs w:val="28"/>
          <w:lang w:val="en-US" w:eastAsia="zh-CN"/>
        </w:rPr>
        <w:t>证书由我会颁发《工程总承包项目经理》或《合同经理》或《招标经理》;所需资料:二寸蓝底免冠彩色照片、身份证正反面、学历证书复印件等电子版材料。</w:t>
      </w:r>
    </w:p>
    <w:p w14:paraId="348F1ED8">
      <w:pPr>
        <w:keepNext w:val="0"/>
        <w:keepLines w:val="0"/>
        <w:pageBreakBefore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C.50000元/单位，不限参会人数，并赠送价值50000元的《国际工程全过程咨询实施规程》标准项目编号：T/CAIEC 0066-2024，或《投融资建设项目管理咨询标准》编号：T/CAIEC 0065-2024，免费参编单位和参编人员一名。</w:t>
      </w:r>
    </w:p>
    <w:p w14:paraId="76CF4650">
      <w:pPr>
        <w:keepNext w:val="0"/>
        <w:keepLines w:val="0"/>
        <w:pageBreakBefore w:val="0"/>
        <w:numPr>
          <w:ilvl w:val="0"/>
          <w:numId w:val="0"/>
        </w:numPr>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color w:val="000000"/>
          <w:spacing w:val="10"/>
          <w:sz w:val="28"/>
          <w:szCs w:val="28"/>
          <w:lang w:val="en-US" w:eastAsia="zh-CN"/>
        </w:rPr>
      </w:pPr>
      <w:r>
        <w:rPr>
          <w:rFonts w:hint="eastAsia" w:ascii="仿宋" w:hAnsi="仿宋" w:eastAsia="仿宋" w:cs="仿宋"/>
          <w:color w:val="000000"/>
          <w:spacing w:val="10"/>
          <w:sz w:val="28"/>
          <w:szCs w:val="28"/>
          <w:lang w:val="en-US" w:eastAsia="zh-CN"/>
        </w:rPr>
        <w:t>D.以上内容线上培训费用：25000元一个学习账号，单位投屏播放，统一观看，支持在线问答。本课程也可以采取定制内容学习、请专家到政府、企业内部培训，40000元/天（含课酬、专家与助教交通费、资料费等），场地由培训单位提供。</w:t>
      </w:r>
    </w:p>
    <w:p w14:paraId="74A6C2A9">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napToGrid w:val="0"/>
          <w:color w:val="000000"/>
          <w:kern w:val="20"/>
          <w:position w:val="-4"/>
          <w:sz w:val="28"/>
          <w:szCs w:val="28"/>
        </w:rPr>
      </w:pPr>
      <w:r>
        <w:rPr>
          <w:rFonts w:hint="eastAsia" w:ascii="仿宋" w:hAnsi="仿宋" w:eastAsia="仿宋" w:cs="仿宋"/>
          <w:b/>
          <w:bCs/>
          <w:snapToGrid w:val="0"/>
          <w:color w:val="000000"/>
          <w:kern w:val="20"/>
          <w:position w:val="-4"/>
          <w:sz w:val="28"/>
          <w:szCs w:val="28"/>
          <w:lang w:val="en-US" w:eastAsia="zh-CN"/>
        </w:rPr>
        <w:t>七</w:t>
      </w:r>
      <w:r>
        <w:rPr>
          <w:rFonts w:hint="eastAsia" w:ascii="仿宋" w:hAnsi="仿宋" w:eastAsia="仿宋" w:cs="仿宋"/>
          <w:b/>
          <w:bCs/>
          <w:snapToGrid w:val="0"/>
          <w:color w:val="000000"/>
          <w:kern w:val="20"/>
          <w:position w:val="-4"/>
          <w:sz w:val="28"/>
          <w:szCs w:val="28"/>
        </w:rPr>
        <w:t>、</w:t>
      </w:r>
      <w:r>
        <w:rPr>
          <w:rFonts w:hint="eastAsia" w:ascii="仿宋" w:hAnsi="仿宋" w:eastAsia="仿宋" w:cs="仿宋"/>
          <w:b/>
          <w:bCs/>
          <w:color w:val="000000"/>
          <w:sz w:val="28"/>
          <w:szCs w:val="28"/>
        </w:rPr>
        <w:t>联系方式</w:t>
      </w:r>
    </w:p>
    <w:p w14:paraId="237DFC70">
      <w:pPr>
        <w:pStyle w:val="10"/>
        <w:ind w:left="0" w:leftChars="0" w:firstLine="600" w:firstLineChars="200"/>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报名负责人：聂红军 主任18211071700（微信）   </w:t>
      </w:r>
    </w:p>
    <w:p w14:paraId="38B1FA71">
      <w:pPr>
        <w:pStyle w:val="10"/>
        <w:ind w:left="0" w:leftChars="0" w:firstLine="600" w:firstLineChars="200"/>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电    话：13141289128        邮    箱：zqgphwz@126.com  </w:t>
      </w:r>
    </w:p>
    <w:p w14:paraId="39B90EF0">
      <w:pPr>
        <w:pStyle w:val="10"/>
        <w:ind w:left="0" w:leftChars="0" w:firstLine="600" w:firstLineChars="200"/>
        <w:rPr>
          <w:rFonts w:hint="eastAsia"/>
        </w:rPr>
      </w:pPr>
      <w:r>
        <w:rPr>
          <w:rFonts w:hint="eastAsia" w:ascii="仿宋" w:hAnsi="仿宋" w:eastAsia="仿宋" w:cs="仿宋"/>
          <w:color w:val="auto"/>
          <w:spacing w:val="10"/>
          <w:kern w:val="2"/>
          <w:sz w:val="28"/>
          <w:szCs w:val="28"/>
          <w:shd w:val="clear" w:color="auto" w:fill="auto"/>
          <w:lang w:val="en-US" w:eastAsia="zh-CN" w:bidi="ar-SA"/>
        </w:rPr>
        <w:t>qq咨询：3177524020   网    址：http://www.zqgpchina.cn</w:t>
      </w:r>
    </w:p>
    <w:p w14:paraId="2B973389">
      <w:pPr>
        <w:pStyle w:val="10"/>
        <w:ind w:left="0" w:leftChars="0" w:firstLine="5320" w:firstLineChars="1900"/>
        <w:rPr>
          <w:rFonts w:hint="eastAsia" w:ascii="仿宋" w:hAnsi="仿宋" w:eastAsia="仿宋" w:cs="仿宋"/>
          <w:sz w:val="28"/>
          <w:szCs w:val="28"/>
        </w:rPr>
      </w:pPr>
    </w:p>
    <w:p w14:paraId="5A02D8C9">
      <w:pPr>
        <w:pStyle w:val="10"/>
        <w:ind w:left="0" w:leftChars="0" w:firstLine="5320" w:firstLineChars="1900"/>
        <w:rPr>
          <w:rFonts w:hint="eastAsia" w:ascii="仿宋" w:hAnsi="仿宋" w:eastAsia="仿宋" w:cs="仿宋"/>
          <w:sz w:val="28"/>
          <w:szCs w:val="28"/>
        </w:rPr>
      </w:pPr>
    </w:p>
    <w:p w14:paraId="183988D2">
      <w:pPr>
        <w:pStyle w:val="10"/>
        <w:ind w:left="0" w:leftChars="0" w:firstLine="4560" w:firstLineChars="1900"/>
        <w:rPr>
          <w:rFonts w:hint="eastAsia" w:ascii="仿宋" w:hAnsi="仿宋" w:eastAsia="仿宋" w:cs="仿宋"/>
          <w:sz w:val="28"/>
          <w:szCs w:val="28"/>
        </w:rPr>
      </w:pPr>
      <w:r>
        <w:rPr>
          <w:rFonts w:hint="eastAsia" w:ascii="宋体" w:hAnsi="宋体" w:eastAsia="宋体" w:cs="仿宋"/>
          <w:sz w:val="24"/>
          <w:szCs w:val="24"/>
          <w:lang w:eastAsia="zh-CN"/>
        </w:rPr>
        <w:drawing>
          <wp:anchor distT="0" distB="0" distL="114300" distR="114300" simplePos="0" relativeHeight="251663360" behindDoc="1" locked="0" layoutInCell="1" allowOverlap="1">
            <wp:simplePos x="0" y="0"/>
            <wp:positionH relativeFrom="column">
              <wp:posOffset>3684905</wp:posOffset>
            </wp:positionH>
            <wp:positionV relativeFrom="paragraph">
              <wp:posOffset>20320</wp:posOffset>
            </wp:positionV>
            <wp:extent cx="1537970" cy="1529715"/>
            <wp:effectExtent l="0" t="0" r="11430" b="19685"/>
            <wp:wrapNone/>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6"/>
                    <a:stretch>
                      <a:fillRect/>
                    </a:stretch>
                  </pic:blipFill>
                  <pic:spPr>
                    <a:xfrm>
                      <a:off x="0" y="0"/>
                      <a:ext cx="1537970" cy="1529715"/>
                    </a:xfrm>
                    <a:prstGeom prst="rect">
                      <a:avLst/>
                    </a:prstGeom>
                    <a:noFill/>
                    <a:ln>
                      <a:noFill/>
                    </a:ln>
                  </pic:spPr>
                </pic:pic>
              </a:graphicData>
            </a:graphic>
          </wp:anchor>
        </w:drawing>
      </w:r>
    </w:p>
    <w:p w14:paraId="2B85E6F9">
      <w:pPr>
        <w:pStyle w:val="10"/>
        <w:ind w:left="0" w:leftChars="0" w:firstLine="5600" w:firstLineChars="2000"/>
        <w:rPr>
          <w:rFonts w:hint="eastAsia" w:ascii="仿宋" w:hAnsi="仿宋" w:eastAsia="仿宋" w:cs="仿宋"/>
          <w:sz w:val="28"/>
          <w:szCs w:val="28"/>
          <w:lang w:eastAsia="zh-CN"/>
        </w:rPr>
      </w:pPr>
      <w:r>
        <w:rPr>
          <w:rFonts w:hint="eastAsia" w:ascii="仿宋" w:hAnsi="仿宋" w:eastAsia="仿宋" w:cs="仿宋"/>
          <w:sz w:val="28"/>
          <w:szCs w:val="28"/>
        </w:rPr>
        <w:t>中国</w:t>
      </w:r>
      <w:r>
        <w:rPr>
          <w:rFonts w:hint="eastAsia" w:ascii="仿宋" w:hAnsi="仿宋" w:eastAsia="仿宋" w:cs="宋体"/>
          <w:kern w:val="0"/>
          <w:sz w:val="28"/>
          <w:szCs w:val="28"/>
          <w:shd w:val="clear" w:color="auto" w:fill="auto"/>
          <w:lang w:val="en-US" w:eastAsia="zh-CN" w:bidi="ar-SA"/>
        </w:rPr>
        <w:drawing>
          <wp:anchor distT="0" distB="0" distL="114300" distR="114300" simplePos="0" relativeHeight="251662336" behindDoc="0" locked="0" layoutInCell="1" allowOverlap="1">
            <wp:simplePos x="0" y="0"/>
            <wp:positionH relativeFrom="column">
              <wp:posOffset>4306570</wp:posOffset>
            </wp:positionH>
            <wp:positionV relativeFrom="paragraph">
              <wp:posOffset>7082790</wp:posOffset>
            </wp:positionV>
            <wp:extent cx="1522095" cy="1511935"/>
            <wp:effectExtent l="0" t="0" r="1905" b="12065"/>
            <wp:wrapNone/>
            <wp:docPr id="1"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中国国际工程咨询协会（无背景）"/>
                    <pic:cNvPicPr>
                      <a:picLocks noChangeAspect="1"/>
                    </pic:cNvPicPr>
                  </pic:nvPicPr>
                  <pic:blipFill>
                    <a:blip r:embed="rId7">
                      <a:lum bright="21997"/>
                    </a:blip>
                    <a:stretch>
                      <a:fillRect/>
                    </a:stretch>
                  </pic:blipFill>
                  <pic:spPr>
                    <a:xfrm>
                      <a:off x="0" y="0"/>
                      <a:ext cx="1522095" cy="1511935"/>
                    </a:xfrm>
                    <a:prstGeom prst="rect">
                      <a:avLst/>
                    </a:prstGeom>
                    <a:noFill/>
                    <a:ln>
                      <a:noFill/>
                    </a:ln>
                  </pic:spPr>
                </pic:pic>
              </a:graphicData>
            </a:graphic>
          </wp:anchor>
        </w:drawing>
      </w:r>
      <w:r>
        <w:rPr>
          <w:rFonts w:hint="eastAsia" w:ascii="仿宋" w:hAnsi="仿宋" w:eastAsia="仿宋" w:cs="仿宋"/>
          <w:sz w:val="28"/>
          <w:szCs w:val="28"/>
        </w:rPr>
        <w:t>国际工程咨询</w:t>
      </w:r>
      <w:r>
        <w:rPr>
          <w:rFonts w:hint="eastAsia" w:ascii="仿宋" w:hAnsi="仿宋" w:eastAsia="仿宋" w:cs="仿宋"/>
          <w:sz w:val="28"/>
          <w:szCs w:val="28"/>
          <w:lang w:val="en-US" w:eastAsia="zh-CN"/>
        </w:rPr>
        <w:t>协会</w:t>
      </w:r>
    </w:p>
    <w:p w14:paraId="5EC78DA0">
      <w:pPr>
        <w:pStyle w:val="10"/>
        <w:ind w:left="0" w:leftChars="0" w:firstLine="5600" w:firstLineChars="20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二〇二四年九月二十八日</w:t>
      </w:r>
    </w:p>
    <w:p w14:paraId="1C391CD7">
      <w:pPr>
        <w:rPr>
          <w:rFonts w:hint="eastAsia" w:ascii="仿宋" w:hAnsi="仿宋" w:eastAsia="仿宋" w:cs="仿宋"/>
          <w:sz w:val="28"/>
          <w:szCs w:val="28"/>
          <w:lang w:val="en-US" w:eastAsia="zh-CN"/>
        </w:rPr>
      </w:pPr>
    </w:p>
    <w:p w14:paraId="2D2A5DD8">
      <w:pPr>
        <w:rPr>
          <w:rFonts w:hint="eastAsia" w:ascii="仿宋" w:hAnsi="仿宋" w:eastAsia="仿宋" w:cs="仿宋"/>
          <w:sz w:val="28"/>
          <w:szCs w:val="28"/>
          <w:lang w:val="en-US" w:eastAsia="zh-CN"/>
        </w:rPr>
      </w:pPr>
    </w:p>
    <w:p w14:paraId="4A410CCE">
      <w:pPr>
        <w:rPr>
          <w:rFonts w:hint="eastAsia" w:ascii="仿宋" w:hAnsi="仿宋" w:eastAsia="仿宋" w:cs="仿宋"/>
          <w:sz w:val="28"/>
          <w:szCs w:val="28"/>
          <w:lang w:val="en-US" w:eastAsia="zh-CN"/>
        </w:rPr>
      </w:pPr>
    </w:p>
    <w:p w14:paraId="78583EFC">
      <w:pPr>
        <w:rPr>
          <w:rFonts w:hint="eastAsia" w:ascii="仿宋" w:hAnsi="仿宋" w:eastAsia="仿宋" w:cs="仿宋"/>
          <w:sz w:val="28"/>
          <w:szCs w:val="28"/>
          <w:lang w:val="en-US" w:eastAsia="zh-CN"/>
        </w:rPr>
      </w:pPr>
      <w:bookmarkStart w:id="0" w:name="_GoBack"/>
      <w:bookmarkEnd w:id="0"/>
    </w:p>
    <w:p w14:paraId="64DDAA56">
      <w:pPr>
        <w:rPr>
          <w:rFonts w:hint="eastAsia" w:ascii="仿宋" w:hAnsi="仿宋" w:eastAsia="仿宋" w:cs="仿宋"/>
          <w:sz w:val="28"/>
          <w:szCs w:val="28"/>
          <w:lang w:val="en-US" w:eastAsia="zh-CN"/>
        </w:rPr>
      </w:pPr>
    </w:p>
    <w:p w14:paraId="463E57A5">
      <w:pPr>
        <w:rPr>
          <w:rFonts w:hint="eastAsia" w:ascii="仿宋" w:hAnsi="仿宋" w:eastAsia="仿宋" w:cs="仿宋"/>
          <w:sz w:val="28"/>
          <w:szCs w:val="28"/>
          <w:lang w:val="en-US" w:eastAsia="zh-CN"/>
        </w:rPr>
      </w:pPr>
    </w:p>
    <w:p w14:paraId="228B90FF">
      <w:pPr>
        <w:rPr>
          <w:rFonts w:hint="eastAsia" w:ascii="仿宋" w:hAnsi="仿宋" w:eastAsia="仿宋" w:cs="仿宋"/>
          <w:sz w:val="28"/>
          <w:szCs w:val="28"/>
          <w:lang w:val="en-US" w:eastAsia="zh-CN"/>
        </w:rPr>
      </w:pPr>
    </w:p>
    <w:p w14:paraId="239F673F">
      <w:pPr>
        <w:rPr>
          <w:rFonts w:hint="eastAsia" w:ascii="仿宋" w:hAnsi="仿宋" w:eastAsia="仿宋" w:cs="仿宋"/>
          <w:sz w:val="28"/>
          <w:szCs w:val="28"/>
          <w:lang w:val="en-US" w:eastAsia="zh-CN"/>
        </w:rPr>
      </w:pPr>
    </w:p>
    <w:tbl>
      <w:tblPr>
        <w:tblStyle w:val="11"/>
        <w:tblpPr w:leftFromText="180" w:rightFromText="180" w:vertAnchor="text" w:horzAnchor="page" w:tblpX="1185" w:tblpY="1381"/>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14:paraId="16D8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761B6A1">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14:paraId="7174DFE2">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3EF6D7F1">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14:paraId="2CB20BB5">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78478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5985CE6">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14:paraId="43B0C252">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46BD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967B17F">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14:paraId="2905F38C">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33C133DE">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14:paraId="26FA4D1B">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71E9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0F9D6C24">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14:paraId="14693881">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3FF1F1AF">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14:paraId="08AB6ECC">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30F67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B767273">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14:paraId="14CECDCC">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7A28E8C1">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14:paraId="49EEE3A8">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214B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1E10A9C">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14:paraId="4A0872D5">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性别</w:t>
            </w:r>
          </w:p>
        </w:tc>
        <w:tc>
          <w:tcPr>
            <w:tcW w:w="1293" w:type="dxa"/>
            <w:vAlign w:val="center"/>
          </w:tcPr>
          <w:p w14:paraId="611ADFA7">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14:paraId="6825CCEC">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14:paraId="0C7027DD">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14:paraId="2E5D5DEE">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14:paraId="75B1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9B7B454">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026079D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123938C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69250633">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1E0644DC">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57BA981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64C3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304BB56D">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683D7EA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68066E4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7A7CBD0F">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6E74074C">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5A127ECF">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4DCD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4851AD8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7E144A2E">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373B6D2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532E65B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19D6CAF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1BF0D0D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62D7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8B32A0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69E79D4E">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581A7E5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736BB19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73EEFDBE">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2C81DBAB">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113B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AAD6C5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04BE856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28579BC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4AA3BD2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26C65D3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7381AF2D">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62BC8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2FE0CF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5E3F773C">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134EBB7E">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7A71750C">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54018AB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73FBEF6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7B35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22ECEC9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3C38745B">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4BD21A4D">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0926AAD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6FAB298F">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6A0F78B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73CA5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6BA311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68849D87">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7F78A7AD">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27137723">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35C370AD">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33D89D5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0FBB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3BE2499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854" w:type="dxa"/>
            <w:vAlign w:val="center"/>
          </w:tcPr>
          <w:p w14:paraId="16376898">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293" w:type="dxa"/>
            <w:vAlign w:val="center"/>
          </w:tcPr>
          <w:p w14:paraId="37F51F5E">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00D87C2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896" w:type="dxa"/>
            <w:vAlign w:val="center"/>
          </w:tcPr>
          <w:p w14:paraId="3FFB317F">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2164" w:type="dxa"/>
            <w:vAlign w:val="center"/>
          </w:tcPr>
          <w:p w14:paraId="5CF5F5F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2DA2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6CE0F3D1">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14:paraId="6DDB420E">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c>
          <w:tcPr>
            <w:tcW w:w="1952" w:type="dxa"/>
            <w:vAlign w:val="center"/>
          </w:tcPr>
          <w:p w14:paraId="14DCC73C">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14:paraId="25B75280">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4B08C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7DAA0B79">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14:paraId="6F61772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单住□      合住</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自理□</w:t>
            </w:r>
          </w:p>
        </w:tc>
      </w:tr>
      <w:tr w14:paraId="5D3C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D4C4072">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14:paraId="26E87164">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《工程总包项目经理》</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《合同经理》</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招标</w:t>
            </w:r>
            <w:r>
              <w:rPr>
                <w:rFonts w:hint="eastAsia" w:ascii="仿宋" w:hAnsi="仿宋" w:eastAsia="仿宋" w:cs="仿宋"/>
                <w:bCs/>
                <w:color w:val="000000" w:themeColor="text1"/>
                <w:sz w:val="28"/>
                <w:szCs w:val="28"/>
                <w14:textFill>
                  <w14:solidFill>
                    <w14:schemeClr w14:val="tx1"/>
                  </w14:solidFill>
                </w14:textFill>
              </w:rPr>
              <w:t>经理》</w:t>
            </w:r>
            <w:r>
              <w:rPr>
                <w:rFonts w:hint="eastAsia" w:ascii="仿宋" w:hAnsi="仿宋" w:eastAsia="仿宋" w:cs="仿宋"/>
                <w:bCs/>
                <w:color w:val="000000" w:themeColor="text1"/>
                <w:sz w:val="28"/>
                <w:szCs w:val="28"/>
                <w:lang w:eastAsia="zh-CN"/>
                <w14:textFill>
                  <w14:solidFill>
                    <w14:schemeClr w14:val="tx1"/>
                  </w14:solidFill>
                </w14:textFill>
              </w:rPr>
              <w:t>□</w:t>
            </w:r>
          </w:p>
        </w:tc>
      </w:tr>
      <w:tr w14:paraId="7371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14:paraId="1F979D46">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14:paraId="00B684F2">
            <w:pPr>
              <w:tabs>
                <w:tab w:val="left" w:pos="567"/>
                <w:tab w:val="left" w:pos="709"/>
              </w:tabs>
              <w:spacing w:line="300" w:lineRule="exact"/>
              <w:jc w:val="both"/>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14:paraId="2A277D31">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14:paraId="319A7222">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p>
        </w:tc>
      </w:tr>
      <w:tr w14:paraId="1741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1678" w:type="dxa"/>
            <w:vAlign w:val="center"/>
          </w:tcPr>
          <w:p w14:paraId="420262A8">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p>
          <w:p w14:paraId="6FADB7D2">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收款信息</w:t>
            </w:r>
          </w:p>
        </w:tc>
        <w:tc>
          <w:tcPr>
            <w:tcW w:w="8159" w:type="dxa"/>
            <w:gridSpan w:val="5"/>
          </w:tcPr>
          <w:p w14:paraId="309EC0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开户名称：</w:t>
            </w:r>
            <w:r>
              <w:rPr>
                <w:rFonts w:hint="eastAsia" w:ascii="仿宋" w:hAnsi="仿宋" w:eastAsia="仿宋" w:cs="仿宋"/>
                <w:bCs/>
                <w:color w:val="000000"/>
                <w:sz w:val="28"/>
                <w:szCs w:val="28"/>
                <w:lang w:val="en-US" w:eastAsia="zh-CN"/>
              </w:rPr>
              <w:t>北京利思教育咨询有限公司</w:t>
            </w:r>
            <w:r>
              <w:rPr>
                <w:rFonts w:hint="eastAsia" w:ascii="仿宋" w:hAnsi="仿宋" w:eastAsia="仿宋" w:cs="仿宋"/>
                <w:bCs/>
                <w:color w:val="000000"/>
                <w:sz w:val="28"/>
                <w:szCs w:val="28"/>
              </w:rPr>
              <w:t xml:space="preserve"> </w:t>
            </w:r>
          </w:p>
          <w:p w14:paraId="47043F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开 户 行：</w:t>
            </w:r>
            <w:r>
              <w:rPr>
                <w:rFonts w:hint="eastAsia" w:ascii="仿宋" w:hAnsi="仿宋" w:eastAsia="仿宋" w:cs="仿宋"/>
                <w:bCs/>
                <w:color w:val="000000"/>
                <w:sz w:val="28"/>
                <w:szCs w:val="28"/>
                <w:lang w:val="en-US" w:eastAsia="zh-CN"/>
              </w:rPr>
              <w:t>中国工商银行股份有限公司北京公主坟支行</w:t>
            </w:r>
          </w:p>
          <w:p w14:paraId="19185129">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sz w:val="28"/>
                <w:szCs w:val="28"/>
              </w:rPr>
              <w:t>账    号：</w:t>
            </w:r>
            <w:r>
              <w:rPr>
                <w:rFonts w:hint="eastAsia" w:ascii="仿宋" w:hAnsi="仿宋" w:eastAsia="仿宋" w:cs="仿宋"/>
                <w:bCs/>
                <w:color w:val="000000"/>
                <w:sz w:val="28"/>
                <w:szCs w:val="28"/>
                <w:lang w:val="en-US" w:eastAsia="zh-CN"/>
              </w:rPr>
              <w:t>0200004609200666087</w:t>
            </w:r>
          </w:p>
        </w:tc>
      </w:tr>
      <w:tr w14:paraId="59AC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678" w:type="dxa"/>
            <w:vAlign w:val="center"/>
          </w:tcPr>
          <w:p w14:paraId="0F0D1486">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14:paraId="67BBC59A">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hint="eastAsia"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hint="eastAsia"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hint="eastAsia" w:ascii="仿宋" w:hAnsi="仿宋" w:eastAsia="仿宋" w:cs="仿宋"/>
                <w:bCs/>
                <w:color w:val="000000" w:themeColor="text1"/>
                <w:sz w:val="28"/>
                <w:szCs w:val="28"/>
                <w14:textFill>
                  <w14:solidFill>
                    <w14:schemeClr w14:val="tx1"/>
                  </w14:solidFill>
                </w14:textFill>
              </w:rPr>
              <w:t>需</w:t>
            </w:r>
          </w:p>
          <w:p w14:paraId="0B4AE6DD">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14:textFill>
                  <w14:solidFill>
                    <w14:schemeClr w14:val="tx1"/>
                  </w14:solidFill>
                </w14:textFill>
              </w:rPr>
            </w:pPr>
          </w:p>
          <w:p w14:paraId="0CE542C6">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hint="eastAsia"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14:paraId="59C3DD15">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hint="eastAsia"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14:paraId="266FD177">
            <w:pPr>
              <w:pStyle w:val="10"/>
              <w:tabs>
                <w:tab w:val="left" w:pos="-1440"/>
              </w:tabs>
              <w:rPr>
                <w:rFonts w:hint="eastAsia" w:ascii="仿宋" w:hAnsi="仿宋" w:eastAsia="仿宋" w:cs="仿宋"/>
              </w:rPr>
            </w:pPr>
          </w:p>
          <w:p w14:paraId="73D6FB1D">
            <w:pPr>
              <w:tabs>
                <w:tab w:val="left" w:pos="567"/>
                <w:tab w:val="left" w:pos="709"/>
              </w:tabs>
              <w:spacing w:line="300" w:lineRule="exact"/>
              <w:ind w:firstLine="280" w:firstLineChars="100"/>
              <w:textAlignment w:val="baseline"/>
              <w:outlineLvl w:val="0"/>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4</w:t>
            </w:r>
            <w:r>
              <w:rPr>
                <w:rFonts w:hint="eastAsia" w:ascii="仿宋" w:hAnsi="仿宋" w:eastAsia="仿宋" w:cs="仿宋"/>
                <w:bCs/>
                <w:color w:val="000000" w:themeColor="text1"/>
                <w:sz w:val="28"/>
                <w:szCs w:val="28"/>
                <w14:textFill>
                  <w14:solidFill>
                    <w14:schemeClr w14:val="tx1"/>
                  </w14:solidFill>
                </w14:textFill>
              </w:rPr>
              <w:t>年  月  日</w:t>
            </w:r>
          </w:p>
        </w:tc>
      </w:tr>
    </w:tbl>
    <w:p w14:paraId="1504B372">
      <w:pPr>
        <w:pStyle w:val="2"/>
        <w:keepNext w:val="0"/>
        <w:keepLines w:val="0"/>
        <w:pageBreakBefore w:val="0"/>
        <w:widowControl/>
        <w:kinsoku/>
        <w:wordWrap/>
        <w:overflowPunct/>
        <w:topLinePunct w:val="0"/>
        <w:autoSpaceDE/>
        <w:autoSpaceDN/>
        <w:bidi w:val="0"/>
        <w:adjustRightInd/>
        <w:snapToGrid/>
        <w:spacing w:before="312" w:beforeLines="100" w:beforeAutospacing="0" w:after="313" w:afterLines="100" w:afterAutospacing="0" w:line="500" w:lineRule="exact"/>
        <w:jc w:val="center"/>
        <w:textAlignment w:val="auto"/>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pPr>
      <w: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t>公平竞争审查规则（八部委16号令）背景下国有企业招标采购合规管理能力提升暨招投标采购全流程实务专题培训班</w:t>
      </w:r>
      <w: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-234315</wp:posOffset>
                </wp:positionH>
                <wp:positionV relativeFrom="paragraph">
                  <wp:posOffset>7376160</wp:posOffset>
                </wp:positionV>
                <wp:extent cx="6248400" cy="1028700"/>
                <wp:effectExtent l="4445" t="4445" r="14605" b="14605"/>
                <wp:wrapNone/>
                <wp:docPr id="9" name="文本框 9"/>
                <wp:cNvGraphicFramePr/>
                <a:graphic xmlns:a="http://schemas.openxmlformats.org/drawingml/2006/main">
                  <a:graphicData uri="http://schemas.microsoft.com/office/word/2010/wordprocessingShape">
                    <wps:wsp>
                      <wps:cNvSpPr txBox="1"/>
                      <wps:spPr>
                        <a:xfrm>
                          <a:off x="680085" y="8376285"/>
                          <a:ext cx="6248400" cy="1028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7060F67">
                            <w:pPr>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报名负责人：聂红军 主任18211071700（微信）   </w:t>
                            </w:r>
                          </w:p>
                          <w:p w14:paraId="1CF4F065">
                            <w:pPr>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电    话：13141289128        邮    箱：zqgphwz@126.com  </w:t>
                            </w:r>
                          </w:p>
                          <w:p w14:paraId="709B4A8D">
                            <w:pPr>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qq咨询：3177524020          网    址：http://www.zqgpchina.cn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5pt;margin-top:580.8pt;height:81pt;width:492pt;z-index:251660288;mso-width-relative:page;mso-height-relative:page;" fillcolor="#FFFFFF [3201]" filled="t" stroked="t" coordsize="21600,21600" o:gfxdata="UEsDBAoAAAAAAIdO4kAAAAAAAAAAAAAAAAAEAAAAZHJzL1BLAwQUAAAACACHTuJAILWXr9cAAAAN&#10;AQAADwAAAGRycy9kb3ducmV2LnhtbE2PwU7DMAyG70i8Q2QkbluaFQVWmk4CCQlxY/TCLWu8tqJx&#10;qiRbx9tjTnC0/1+fP9e7i5/EGWMaAxlQ6wIEUhfcSL2B9uNl9QAiZUvOToHQwDcm2DXXV7WtXFjo&#10;Hc/73AuGUKqsgSHnuZIydQN6m9ZhRuLsGKK3mcfYSxftwnA/yU1RaOntSHxhsDM+D9h97U/ewKt+&#10;yp/YujdXbsqwtLKLxykZc3ujikcQGS/5rwy/+qwODTsdwolcEpOBVam3XOVAaaVBcGV7d69AHHjF&#10;WA2yqeX/L5ofUEsDBBQAAAAIAIdO4kCxriWVYwIAAMMEAAAOAAAAZHJzL2Uyb0RvYy54bWytVM1u&#10;EzEQviPxDpbvZDdpmqZRN1VoFYQU0UoFcXa83qyF7TG2k93wAPAGnLhw57n6HIy9m/5y6IEcnBnP&#10;p88z38zs2XmrFdkJ5yWYgg4HOSXCcCil2RT008flmyklPjBTMgVGFHQvPD2fv3511tiZGEENqhSO&#10;IInxs8YWtA7BzrLM81po5gdghcFgBU6zgK7bZKVjDbJrlY3yfJI14ErrgAvv8fayC9Ke0b2EEKpK&#10;cnEJfKuFCR2rE4oFLMnX0no6T9lWleDhqqq8CEQVFCsN6cRH0F7HM5ufsdnGMVtL3qfAXpLCk5o0&#10;kwYfvaO6ZIGRrZPPqLTkDjxUYcBBZ10hSRGsYpg/0eamZlakWlBqb+9E9/+Pln/YXTsiy4KeUmKY&#10;xobf/vxx++vP7e/v5DTK01g/Q9SNRVxo30KLQ3O493gZq24rp+M/1kMwPpnm+fSYkn1Bp0cnkxHa&#10;SWfRBsJjfDSejnNsAUfEMB9NT9BBRHbPZJ0P7wRoEo2COmxk0pftVj500AMkPuxByXIplUqO26wv&#10;lCM7hk1fpl/P/gimDGkwl6PjPDE/ikXuO4q1YvzLcwbMVhlMOgrUCRGt0K7bXrU1lHsUzUE3dd7y&#10;pUTeFfPhmjkcM1QAFzFc4VEpwGSgtyipwX37133EY/cxSkmDY1tQ/3XLnKBEvTc4F6fD8TjOeXLG&#10;xycjdNzDyPphxGz1BaBIQ1x5y5MZ8UEdzMqB/oz7uoivYogZjm8XNBzMi9AtE+47F4tFAuFkWxZW&#10;5sbySB1bYmCxDVDJ1LooU6dNrx7Odmp+v4dxeR76CXX/7Zn/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1l6/XAAAADQEAAA8AAAAAAAAAAQAgAAAAIgAAAGRycy9kb3ducmV2LnhtbFBLAQIUABQA&#10;AAAIAIdO4kCxriWVYwIAAMMEAAAOAAAAAAAAAAEAIAAAACYBAABkcnMvZTJvRG9jLnhtbFBLBQYA&#10;AAAABgAGAFkBAAD7BQAAAAA=&#10;">
                <v:fill on="t" focussize="0,0"/>
                <v:stroke weight="0.5pt" color="#000000 [3204]" joinstyle="round"/>
                <v:imagedata o:title=""/>
                <o:lock v:ext="edit" aspectratio="f"/>
                <v:textbox>
                  <w:txbxContent>
                    <w:p w14:paraId="47060F67">
                      <w:pPr>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报名负责人：聂红军 主任18211071700（微信）   </w:t>
                      </w:r>
                    </w:p>
                    <w:p w14:paraId="1CF4F065">
                      <w:pPr>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 xml:space="preserve">电    话：13141289128        邮    箱：zqgphwz@126.com  </w:t>
                      </w:r>
                    </w:p>
                    <w:p w14:paraId="709B4A8D">
                      <w:pPr>
                        <w:keepNext w:val="0"/>
                        <w:keepLines w:val="0"/>
                        <w:pageBreakBefore w:val="0"/>
                        <w:widowControl w:val="0"/>
                        <w:kinsoku/>
                        <w:wordWrap/>
                        <w:overflowPunct/>
                        <w:topLinePunct w:val="0"/>
                        <w:bidi w:val="0"/>
                        <w:adjustRightInd/>
                        <w:snapToGrid/>
                        <w:spacing w:line="440" w:lineRule="exact"/>
                        <w:textAlignment w:val="auto"/>
                        <w:rPr>
                          <w:rFonts w:hint="eastAsia" w:ascii="仿宋" w:hAnsi="仿宋" w:eastAsia="仿宋" w:cs="仿宋"/>
                          <w:color w:val="auto"/>
                          <w:spacing w:val="10"/>
                          <w:kern w:val="2"/>
                          <w:sz w:val="28"/>
                          <w:szCs w:val="28"/>
                          <w:shd w:val="clear" w:color="auto" w:fill="auto"/>
                          <w:lang w:val="en-US" w:eastAsia="zh-CN" w:bidi="ar-SA"/>
                        </w:rPr>
                      </w:pPr>
                      <w:r>
                        <w:rPr>
                          <w:rFonts w:hint="eastAsia" w:ascii="仿宋" w:hAnsi="仿宋" w:eastAsia="仿宋" w:cs="仿宋"/>
                          <w:color w:val="auto"/>
                          <w:spacing w:val="10"/>
                          <w:kern w:val="2"/>
                          <w:sz w:val="28"/>
                          <w:szCs w:val="28"/>
                          <w:shd w:val="clear" w:color="auto" w:fill="auto"/>
                          <w:lang w:val="en-US" w:eastAsia="zh-CN" w:bidi="ar-SA"/>
                        </w:rPr>
                        <w:t>qq咨询：3177524020          网    址：http://www.zqgpchina.cn</w:t>
                      </w:r>
                    </w:p>
                  </w:txbxContent>
                </v:textbox>
              </v:shape>
            </w:pict>
          </mc:Fallback>
        </mc:AlternateContent>
      </w:r>
      <w:r>
        <w:rPr>
          <w:rFonts w:hint="eastAsia" w:ascii="仿宋" w:hAnsi="仿宋" w:eastAsia="仿宋" w:cs="仿宋"/>
          <w:b/>
          <w:bCs/>
          <w:color w:val="000000" w:themeColor="text1"/>
          <w:kern w:val="0"/>
          <w:sz w:val="30"/>
          <w:szCs w:val="30"/>
          <w:shd w:val="clear" w:color="000000" w:fill="auto"/>
          <w:lang w:val="en-US" w:eastAsia="zh-CN" w:bidi="ar-SA"/>
          <w14:textFill>
            <w14:solidFill>
              <w14:schemeClr w14:val="tx1"/>
            </w14:solidFill>
          </w14:textFill>
        </w:rPr>
        <w:t>报名表</w:t>
      </w:r>
    </w:p>
    <w:sectPr>
      <w:footerReference r:id="rId3" w:type="default"/>
      <w:footerReference r:id="rId4" w:type="even"/>
      <w:pgSz w:w="11906" w:h="16838"/>
      <w:pgMar w:top="1440" w:right="1440" w:bottom="144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8262">
    <w:pPr>
      <w:pStyle w:val="6"/>
      <w:ind w:right="560"/>
      <w:jc w:val="right"/>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02F0B">
                          <w:pPr>
                            <w:pStyle w:val="6"/>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5102F0B">
                    <w:pPr>
                      <w:pStyle w:val="6"/>
                    </w:pPr>
                    <w:r>
                      <w:fldChar w:fldCharType="begin"/>
                    </w:r>
                    <w:r>
                      <w:instrText xml:space="preserve"> PAGE  \* MERGEFORMAT </w:instrText>
                    </w:r>
                    <w:r>
                      <w:fldChar w:fldCharType="separate"/>
                    </w:r>
                    <w:r>
                      <w:t>１</w:t>
                    </w:r>
                    <w:r>
                      <w:fldChar w:fldCharType="end"/>
                    </w:r>
                  </w:p>
                </w:txbxContent>
              </v:textbox>
            </v:shape>
          </w:pict>
        </mc:Fallback>
      </mc:AlternateContent>
    </w:r>
  </w:p>
  <w:p w14:paraId="6A7533E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A0D03">
    <w:pPr>
      <w:pStyle w:val="6"/>
      <w:ind w:right="561" w:firstLine="280" w:firstLineChars="100"/>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6436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764365">
                    <w:pPr>
                      <w:pStyle w:val="6"/>
                    </w:pPr>
                    <w:r>
                      <w:fldChar w:fldCharType="begin"/>
                    </w:r>
                    <w:r>
                      <w:instrText xml:space="preserve"> PAGE  \* MERGEFORMAT </w:instrText>
                    </w:r>
                    <w:r>
                      <w:fldChar w:fldCharType="separate"/>
                    </w:r>
                    <w:r>
                      <w:t>2</w:t>
                    </w:r>
                    <w:r>
                      <w:fldChar w:fldCharType="end"/>
                    </w:r>
                  </w:p>
                </w:txbxContent>
              </v:textbox>
            </v:shape>
          </w:pict>
        </mc:Fallback>
      </mc:AlternateContent>
    </w:r>
  </w:p>
  <w:p w14:paraId="715525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yMWM5NTU3NmQwMzYzZGY2NjUyMjZkNDUzMDVhNDkifQ=="/>
  </w:docVars>
  <w:rsids>
    <w:rsidRoot w:val="004F6A52"/>
    <w:rsid w:val="000007C8"/>
    <w:rsid w:val="0000490B"/>
    <w:rsid w:val="00005B71"/>
    <w:rsid w:val="00013EA6"/>
    <w:rsid w:val="00014E5F"/>
    <w:rsid w:val="0002047B"/>
    <w:rsid w:val="000220A1"/>
    <w:rsid w:val="0002309F"/>
    <w:rsid w:val="00024A6F"/>
    <w:rsid w:val="00026EB1"/>
    <w:rsid w:val="00030A32"/>
    <w:rsid w:val="000405BE"/>
    <w:rsid w:val="00055255"/>
    <w:rsid w:val="00056117"/>
    <w:rsid w:val="000574D1"/>
    <w:rsid w:val="00060155"/>
    <w:rsid w:val="00061476"/>
    <w:rsid w:val="000654C4"/>
    <w:rsid w:val="00070E62"/>
    <w:rsid w:val="00070F83"/>
    <w:rsid w:val="00071D1E"/>
    <w:rsid w:val="0007426D"/>
    <w:rsid w:val="00076F58"/>
    <w:rsid w:val="00080F71"/>
    <w:rsid w:val="00087F20"/>
    <w:rsid w:val="0009786F"/>
    <w:rsid w:val="000A3991"/>
    <w:rsid w:val="000A3B03"/>
    <w:rsid w:val="000A59F1"/>
    <w:rsid w:val="000A61D3"/>
    <w:rsid w:val="000A65CB"/>
    <w:rsid w:val="000A7A88"/>
    <w:rsid w:val="000B2414"/>
    <w:rsid w:val="000C78CC"/>
    <w:rsid w:val="000D0140"/>
    <w:rsid w:val="000D38AA"/>
    <w:rsid w:val="000D44EA"/>
    <w:rsid w:val="000F17EC"/>
    <w:rsid w:val="000F41C1"/>
    <w:rsid w:val="000F6623"/>
    <w:rsid w:val="001054D7"/>
    <w:rsid w:val="001064FC"/>
    <w:rsid w:val="001103D6"/>
    <w:rsid w:val="00110714"/>
    <w:rsid w:val="00112E3F"/>
    <w:rsid w:val="00125B25"/>
    <w:rsid w:val="001320B5"/>
    <w:rsid w:val="00141E13"/>
    <w:rsid w:val="00143AC5"/>
    <w:rsid w:val="0014564B"/>
    <w:rsid w:val="00146128"/>
    <w:rsid w:val="001474E7"/>
    <w:rsid w:val="001556C4"/>
    <w:rsid w:val="00163D9F"/>
    <w:rsid w:val="001643FA"/>
    <w:rsid w:val="00164EB6"/>
    <w:rsid w:val="001710F9"/>
    <w:rsid w:val="00174DAE"/>
    <w:rsid w:val="00177037"/>
    <w:rsid w:val="00180972"/>
    <w:rsid w:val="00181C22"/>
    <w:rsid w:val="00194C73"/>
    <w:rsid w:val="00195A28"/>
    <w:rsid w:val="001A18D1"/>
    <w:rsid w:val="001A19AE"/>
    <w:rsid w:val="001A3145"/>
    <w:rsid w:val="001A3BB3"/>
    <w:rsid w:val="001B19C7"/>
    <w:rsid w:val="001B27ED"/>
    <w:rsid w:val="001B474A"/>
    <w:rsid w:val="001B69E3"/>
    <w:rsid w:val="001C2E2A"/>
    <w:rsid w:val="001C5BA7"/>
    <w:rsid w:val="001C7AFF"/>
    <w:rsid w:val="001D62C2"/>
    <w:rsid w:val="001E022A"/>
    <w:rsid w:val="001F373C"/>
    <w:rsid w:val="00201E73"/>
    <w:rsid w:val="002131B2"/>
    <w:rsid w:val="00214B53"/>
    <w:rsid w:val="00216FC1"/>
    <w:rsid w:val="00221963"/>
    <w:rsid w:val="00223F43"/>
    <w:rsid w:val="00225819"/>
    <w:rsid w:val="00230AE3"/>
    <w:rsid w:val="00234E9A"/>
    <w:rsid w:val="002357DF"/>
    <w:rsid w:val="0024122B"/>
    <w:rsid w:val="00241A59"/>
    <w:rsid w:val="002444B6"/>
    <w:rsid w:val="002471A4"/>
    <w:rsid w:val="00247D5E"/>
    <w:rsid w:val="0026584B"/>
    <w:rsid w:val="00275A79"/>
    <w:rsid w:val="002762DF"/>
    <w:rsid w:val="00280ADD"/>
    <w:rsid w:val="00281549"/>
    <w:rsid w:val="00282598"/>
    <w:rsid w:val="002826CD"/>
    <w:rsid w:val="00283246"/>
    <w:rsid w:val="00292972"/>
    <w:rsid w:val="00294C84"/>
    <w:rsid w:val="002A2D56"/>
    <w:rsid w:val="002A348B"/>
    <w:rsid w:val="002A401A"/>
    <w:rsid w:val="002B0A88"/>
    <w:rsid w:val="002B678D"/>
    <w:rsid w:val="002C2450"/>
    <w:rsid w:val="002C40A2"/>
    <w:rsid w:val="002D1D3B"/>
    <w:rsid w:val="002D1DE3"/>
    <w:rsid w:val="002E0781"/>
    <w:rsid w:val="002E2270"/>
    <w:rsid w:val="002E6958"/>
    <w:rsid w:val="002F24ED"/>
    <w:rsid w:val="00311F45"/>
    <w:rsid w:val="003130F0"/>
    <w:rsid w:val="00320584"/>
    <w:rsid w:val="00323761"/>
    <w:rsid w:val="00333855"/>
    <w:rsid w:val="00335611"/>
    <w:rsid w:val="00336A59"/>
    <w:rsid w:val="003422BF"/>
    <w:rsid w:val="0034241A"/>
    <w:rsid w:val="00342E6D"/>
    <w:rsid w:val="00351941"/>
    <w:rsid w:val="00353E92"/>
    <w:rsid w:val="0035400D"/>
    <w:rsid w:val="00364A61"/>
    <w:rsid w:val="0038629F"/>
    <w:rsid w:val="0038675B"/>
    <w:rsid w:val="00387016"/>
    <w:rsid w:val="0039323D"/>
    <w:rsid w:val="003A2B46"/>
    <w:rsid w:val="003A3C3B"/>
    <w:rsid w:val="003B503F"/>
    <w:rsid w:val="003C0FB9"/>
    <w:rsid w:val="003C662E"/>
    <w:rsid w:val="003D0E81"/>
    <w:rsid w:val="003D12A4"/>
    <w:rsid w:val="003E0E68"/>
    <w:rsid w:val="003E108A"/>
    <w:rsid w:val="003E4933"/>
    <w:rsid w:val="003E6518"/>
    <w:rsid w:val="003F37BF"/>
    <w:rsid w:val="003F6939"/>
    <w:rsid w:val="003F7DA8"/>
    <w:rsid w:val="00414A4F"/>
    <w:rsid w:val="00415DD9"/>
    <w:rsid w:val="00417615"/>
    <w:rsid w:val="004238D2"/>
    <w:rsid w:val="00425248"/>
    <w:rsid w:val="0042701E"/>
    <w:rsid w:val="004310D7"/>
    <w:rsid w:val="004315AC"/>
    <w:rsid w:val="00431965"/>
    <w:rsid w:val="0043269B"/>
    <w:rsid w:val="00433383"/>
    <w:rsid w:val="00434496"/>
    <w:rsid w:val="0044085D"/>
    <w:rsid w:val="004409E1"/>
    <w:rsid w:val="00447F45"/>
    <w:rsid w:val="00452E81"/>
    <w:rsid w:val="00455C2A"/>
    <w:rsid w:val="004629B9"/>
    <w:rsid w:val="00464A3E"/>
    <w:rsid w:val="0046528B"/>
    <w:rsid w:val="0046758E"/>
    <w:rsid w:val="00467B0A"/>
    <w:rsid w:val="004750D3"/>
    <w:rsid w:val="00480E7D"/>
    <w:rsid w:val="00485D03"/>
    <w:rsid w:val="00493776"/>
    <w:rsid w:val="00494116"/>
    <w:rsid w:val="00496BCF"/>
    <w:rsid w:val="004A24EC"/>
    <w:rsid w:val="004A67E8"/>
    <w:rsid w:val="004B0900"/>
    <w:rsid w:val="004B5270"/>
    <w:rsid w:val="004C0566"/>
    <w:rsid w:val="004C166F"/>
    <w:rsid w:val="004C1DE2"/>
    <w:rsid w:val="004C6DB7"/>
    <w:rsid w:val="004C7D65"/>
    <w:rsid w:val="004D34CF"/>
    <w:rsid w:val="004D3F83"/>
    <w:rsid w:val="004D428A"/>
    <w:rsid w:val="004E4BE2"/>
    <w:rsid w:val="004E678A"/>
    <w:rsid w:val="004E6D22"/>
    <w:rsid w:val="004F06ED"/>
    <w:rsid w:val="004F22C5"/>
    <w:rsid w:val="004F6A52"/>
    <w:rsid w:val="004F78FA"/>
    <w:rsid w:val="00503C57"/>
    <w:rsid w:val="00504724"/>
    <w:rsid w:val="00516558"/>
    <w:rsid w:val="00525208"/>
    <w:rsid w:val="0052572F"/>
    <w:rsid w:val="00533D88"/>
    <w:rsid w:val="00536906"/>
    <w:rsid w:val="0054238F"/>
    <w:rsid w:val="00543DE4"/>
    <w:rsid w:val="00544710"/>
    <w:rsid w:val="00545C71"/>
    <w:rsid w:val="00550095"/>
    <w:rsid w:val="005565E0"/>
    <w:rsid w:val="005607E8"/>
    <w:rsid w:val="00560BD3"/>
    <w:rsid w:val="00562AD0"/>
    <w:rsid w:val="0056571B"/>
    <w:rsid w:val="005677EB"/>
    <w:rsid w:val="00570300"/>
    <w:rsid w:val="00572603"/>
    <w:rsid w:val="005744AF"/>
    <w:rsid w:val="005752E8"/>
    <w:rsid w:val="00576ED8"/>
    <w:rsid w:val="00576FC9"/>
    <w:rsid w:val="005875CA"/>
    <w:rsid w:val="00591FB1"/>
    <w:rsid w:val="005A0E26"/>
    <w:rsid w:val="005A2441"/>
    <w:rsid w:val="005A7E3B"/>
    <w:rsid w:val="005B1CA9"/>
    <w:rsid w:val="005C331F"/>
    <w:rsid w:val="005C60FD"/>
    <w:rsid w:val="005D660A"/>
    <w:rsid w:val="005F0B39"/>
    <w:rsid w:val="005F1956"/>
    <w:rsid w:val="005F2999"/>
    <w:rsid w:val="005F4886"/>
    <w:rsid w:val="00601029"/>
    <w:rsid w:val="00602613"/>
    <w:rsid w:val="00602961"/>
    <w:rsid w:val="00603AA2"/>
    <w:rsid w:val="00613A0C"/>
    <w:rsid w:val="00616F7B"/>
    <w:rsid w:val="00623E3E"/>
    <w:rsid w:val="0063115F"/>
    <w:rsid w:val="00631F73"/>
    <w:rsid w:val="00642A37"/>
    <w:rsid w:val="0065261D"/>
    <w:rsid w:val="006545B8"/>
    <w:rsid w:val="00655C13"/>
    <w:rsid w:val="00673159"/>
    <w:rsid w:val="00680322"/>
    <w:rsid w:val="00682C33"/>
    <w:rsid w:val="00691D28"/>
    <w:rsid w:val="006931FD"/>
    <w:rsid w:val="0069496A"/>
    <w:rsid w:val="006949C7"/>
    <w:rsid w:val="006976DC"/>
    <w:rsid w:val="006A1A62"/>
    <w:rsid w:val="006A38C2"/>
    <w:rsid w:val="006B3A51"/>
    <w:rsid w:val="006B73D2"/>
    <w:rsid w:val="006B74A5"/>
    <w:rsid w:val="006C062F"/>
    <w:rsid w:val="006C08A2"/>
    <w:rsid w:val="006C350F"/>
    <w:rsid w:val="006D79B6"/>
    <w:rsid w:val="006E12D8"/>
    <w:rsid w:val="006E4A74"/>
    <w:rsid w:val="006F022E"/>
    <w:rsid w:val="006F3AD8"/>
    <w:rsid w:val="006F62AD"/>
    <w:rsid w:val="00701D97"/>
    <w:rsid w:val="007020F7"/>
    <w:rsid w:val="00706D05"/>
    <w:rsid w:val="00710FEC"/>
    <w:rsid w:val="00717356"/>
    <w:rsid w:val="00720CD7"/>
    <w:rsid w:val="00721AE4"/>
    <w:rsid w:val="00722944"/>
    <w:rsid w:val="00723D6E"/>
    <w:rsid w:val="00724B64"/>
    <w:rsid w:val="00733E29"/>
    <w:rsid w:val="00737ECE"/>
    <w:rsid w:val="00743EA1"/>
    <w:rsid w:val="00750E58"/>
    <w:rsid w:val="00754428"/>
    <w:rsid w:val="007562F2"/>
    <w:rsid w:val="007604CE"/>
    <w:rsid w:val="0076100E"/>
    <w:rsid w:val="00762CCB"/>
    <w:rsid w:val="007651A7"/>
    <w:rsid w:val="0076635E"/>
    <w:rsid w:val="00772DEB"/>
    <w:rsid w:val="00777473"/>
    <w:rsid w:val="007803B7"/>
    <w:rsid w:val="00781412"/>
    <w:rsid w:val="00781918"/>
    <w:rsid w:val="00782F7A"/>
    <w:rsid w:val="007830FF"/>
    <w:rsid w:val="007903A8"/>
    <w:rsid w:val="007A10EF"/>
    <w:rsid w:val="007A47CF"/>
    <w:rsid w:val="007A7BD8"/>
    <w:rsid w:val="007B0BDF"/>
    <w:rsid w:val="007B3491"/>
    <w:rsid w:val="007B387A"/>
    <w:rsid w:val="007B5F5A"/>
    <w:rsid w:val="007B7948"/>
    <w:rsid w:val="007C25F0"/>
    <w:rsid w:val="007C2DC1"/>
    <w:rsid w:val="007C3BE8"/>
    <w:rsid w:val="007C548A"/>
    <w:rsid w:val="007C6397"/>
    <w:rsid w:val="007E6A11"/>
    <w:rsid w:val="007E718B"/>
    <w:rsid w:val="007F36BB"/>
    <w:rsid w:val="007F3B2D"/>
    <w:rsid w:val="007F44ED"/>
    <w:rsid w:val="008010A9"/>
    <w:rsid w:val="008026F7"/>
    <w:rsid w:val="008032AD"/>
    <w:rsid w:val="00804016"/>
    <w:rsid w:val="00804B82"/>
    <w:rsid w:val="008107E8"/>
    <w:rsid w:val="00815ADF"/>
    <w:rsid w:val="00820A4A"/>
    <w:rsid w:val="008231E0"/>
    <w:rsid w:val="00824B69"/>
    <w:rsid w:val="00826D0E"/>
    <w:rsid w:val="00841155"/>
    <w:rsid w:val="008436B6"/>
    <w:rsid w:val="00844EBE"/>
    <w:rsid w:val="00853806"/>
    <w:rsid w:val="00854357"/>
    <w:rsid w:val="0085515B"/>
    <w:rsid w:val="00855D17"/>
    <w:rsid w:val="00860445"/>
    <w:rsid w:val="008635B4"/>
    <w:rsid w:val="00872227"/>
    <w:rsid w:val="00875D3A"/>
    <w:rsid w:val="00882222"/>
    <w:rsid w:val="00883751"/>
    <w:rsid w:val="008848F9"/>
    <w:rsid w:val="008937C8"/>
    <w:rsid w:val="00894420"/>
    <w:rsid w:val="00896BDA"/>
    <w:rsid w:val="008A5A14"/>
    <w:rsid w:val="008A6743"/>
    <w:rsid w:val="008A7FC5"/>
    <w:rsid w:val="008B3013"/>
    <w:rsid w:val="008B37E0"/>
    <w:rsid w:val="008C0706"/>
    <w:rsid w:val="008C74A9"/>
    <w:rsid w:val="008C7D09"/>
    <w:rsid w:val="008D1149"/>
    <w:rsid w:val="008D2F62"/>
    <w:rsid w:val="008D4B5A"/>
    <w:rsid w:val="008D5F6E"/>
    <w:rsid w:val="008E2954"/>
    <w:rsid w:val="008E31F2"/>
    <w:rsid w:val="008F054E"/>
    <w:rsid w:val="00912212"/>
    <w:rsid w:val="009219DB"/>
    <w:rsid w:val="00922A6D"/>
    <w:rsid w:val="009278DD"/>
    <w:rsid w:val="00927EC4"/>
    <w:rsid w:val="00936907"/>
    <w:rsid w:val="00936F59"/>
    <w:rsid w:val="00940B52"/>
    <w:rsid w:val="00944AE2"/>
    <w:rsid w:val="00945C17"/>
    <w:rsid w:val="00950F0A"/>
    <w:rsid w:val="00952146"/>
    <w:rsid w:val="009568E9"/>
    <w:rsid w:val="00957C24"/>
    <w:rsid w:val="009605C4"/>
    <w:rsid w:val="00960842"/>
    <w:rsid w:val="00964222"/>
    <w:rsid w:val="00980EAE"/>
    <w:rsid w:val="00980F34"/>
    <w:rsid w:val="00983FC9"/>
    <w:rsid w:val="0098417D"/>
    <w:rsid w:val="00985C5D"/>
    <w:rsid w:val="00985F74"/>
    <w:rsid w:val="009919BB"/>
    <w:rsid w:val="00996EAC"/>
    <w:rsid w:val="00997928"/>
    <w:rsid w:val="009A12F1"/>
    <w:rsid w:val="009A57F6"/>
    <w:rsid w:val="009B051B"/>
    <w:rsid w:val="009B488E"/>
    <w:rsid w:val="009B4D60"/>
    <w:rsid w:val="009C016D"/>
    <w:rsid w:val="009C479E"/>
    <w:rsid w:val="009C4AA9"/>
    <w:rsid w:val="009D1F6A"/>
    <w:rsid w:val="009D656D"/>
    <w:rsid w:val="009D6586"/>
    <w:rsid w:val="009E2BF2"/>
    <w:rsid w:val="009F031E"/>
    <w:rsid w:val="009F0B9D"/>
    <w:rsid w:val="009F588B"/>
    <w:rsid w:val="009F65B6"/>
    <w:rsid w:val="009F7603"/>
    <w:rsid w:val="00A00273"/>
    <w:rsid w:val="00A01BE9"/>
    <w:rsid w:val="00A03F86"/>
    <w:rsid w:val="00A07375"/>
    <w:rsid w:val="00A11155"/>
    <w:rsid w:val="00A12749"/>
    <w:rsid w:val="00A153DC"/>
    <w:rsid w:val="00A22451"/>
    <w:rsid w:val="00A235A7"/>
    <w:rsid w:val="00A240AF"/>
    <w:rsid w:val="00A32C47"/>
    <w:rsid w:val="00A4340E"/>
    <w:rsid w:val="00A53281"/>
    <w:rsid w:val="00A54ED3"/>
    <w:rsid w:val="00A57BD3"/>
    <w:rsid w:val="00A57D37"/>
    <w:rsid w:val="00A6074F"/>
    <w:rsid w:val="00A61D26"/>
    <w:rsid w:val="00A65F95"/>
    <w:rsid w:val="00A77A71"/>
    <w:rsid w:val="00A872D6"/>
    <w:rsid w:val="00A93CA9"/>
    <w:rsid w:val="00A97814"/>
    <w:rsid w:val="00AA1C54"/>
    <w:rsid w:val="00AB0BAE"/>
    <w:rsid w:val="00AC0E13"/>
    <w:rsid w:val="00AD289C"/>
    <w:rsid w:val="00AD7DCD"/>
    <w:rsid w:val="00AE23D4"/>
    <w:rsid w:val="00AE4574"/>
    <w:rsid w:val="00AE699E"/>
    <w:rsid w:val="00AF16FC"/>
    <w:rsid w:val="00AF53B0"/>
    <w:rsid w:val="00B0124A"/>
    <w:rsid w:val="00B12EC4"/>
    <w:rsid w:val="00B13F42"/>
    <w:rsid w:val="00B16977"/>
    <w:rsid w:val="00B204C6"/>
    <w:rsid w:val="00B20FF2"/>
    <w:rsid w:val="00B225E8"/>
    <w:rsid w:val="00B228F0"/>
    <w:rsid w:val="00B24F47"/>
    <w:rsid w:val="00B25797"/>
    <w:rsid w:val="00B2709B"/>
    <w:rsid w:val="00B3037F"/>
    <w:rsid w:val="00B30C52"/>
    <w:rsid w:val="00B3107C"/>
    <w:rsid w:val="00B3717D"/>
    <w:rsid w:val="00B37AF1"/>
    <w:rsid w:val="00B41FDE"/>
    <w:rsid w:val="00B4416C"/>
    <w:rsid w:val="00B536DA"/>
    <w:rsid w:val="00B60C01"/>
    <w:rsid w:val="00B66713"/>
    <w:rsid w:val="00B66718"/>
    <w:rsid w:val="00B70A53"/>
    <w:rsid w:val="00B72BA5"/>
    <w:rsid w:val="00B74A12"/>
    <w:rsid w:val="00B74C4D"/>
    <w:rsid w:val="00B80952"/>
    <w:rsid w:val="00B8422A"/>
    <w:rsid w:val="00B90661"/>
    <w:rsid w:val="00B96AE4"/>
    <w:rsid w:val="00B96AEC"/>
    <w:rsid w:val="00B9798D"/>
    <w:rsid w:val="00BA7086"/>
    <w:rsid w:val="00BB0200"/>
    <w:rsid w:val="00BB5B64"/>
    <w:rsid w:val="00BC16C2"/>
    <w:rsid w:val="00BC5A09"/>
    <w:rsid w:val="00BD172F"/>
    <w:rsid w:val="00BD3615"/>
    <w:rsid w:val="00BD6820"/>
    <w:rsid w:val="00BE0165"/>
    <w:rsid w:val="00BF06E0"/>
    <w:rsid w:val="00BF226C"/>
    <w:rsid w:val="00BF58D7"/>
    <w:rsid w:val="00BF6D59"/>
    <w:rsid w:val="00BF7DAC"/>
    <w:rsid w:val="00C07FA8"/>
    <w:rsid w:val="00C13061"/>
    <w:rsid w:val="00C20033"/>
    <w:rsid w:val="00C253A6"/>
    <w:rsid w:val="00C25492"/>
    <w:rsid w:val="00C310BE"/>
    <w:rsid w:val="00C31A83"/>
    <w:rsid w:val="00C328C1"/>
    <w:rsid w:val="00C34BD7"/>
    <w:rsid w:val="00C445CE"/>
    <w:rsid w:val="00C44AD2"/>
    <w:rsid w:val="00C45194"/>
    <w:rsid w:val="00C50FDE"/>
    <w:rsid w:val="00C53F21"/>
    <w:rsid w:val="00C54A16"/>
    <w:rsid w:val="00C5503F"/>
    <w:rsid w:val="00C56F03"/>
    <w:rsid w:val="00C57483"/>
    <w:rsid w:val="00C634F3"/>
    <w:rsid w:val="00C6428E"/>
    <w:rsid w:val="00C644C4"/>
    <w:rsid w:val="00C80912"/>
    <w:rsid w:val="00C810AC"/>
    <w:rsid w:val="00C81320"/>
    <w:rsid w:val="00C84C7C"/>
    <w:rsid w:val="00C87825"/>
    <w:rsid w:val="00C909E9"/>
    <w:rsid w:val="00C90ED7"/>
    <w:rsid w:val="00C920DF"/>
    <w:rsid w:val="00C97FBA"/>
    <w:rsid w:val="00C97FF9"/>
    <w:rsid w:val="00CA33D2"/>
    <w:rsid w:val="00CA3AA9"/>
    <w:rsid w:val="00CA5E0D"/>
    <w:rsid w:val="00CC3F98"/>
    <w:rsid w:val="00CC4442"/>
    <w:rsid w:val="00CD0E87"/>
    <w:rsid w:val="00CD2D79"/>
    <w:rsid w:val="00CD4AD6"/>
    <w:rsid w:val="00CD6C54"/>
    <w:rsid w:val="00CE2D9F"/>
    <w:rsid w:val="00CE31A6"/>
    <w:rsid w:val="00CE72FD"/>
    <w:rsid w:val="00CF02B7"/>
    <w:rsid w:val="00CF1D5E"/>
    <w:rsid w:val="00CF3559"/>
    <w:rsid w:val="00CF6C86"/>
    <w:rsid w:val="00CF6E2E"/>
    <w:rsid w:val="00CF79C0"/>
    <w:rsid w:val="00D10554"/>
    <w:rsid w:val="00D125A2"/>
    <w:rsid w:val="00D20F8E"/>
    <w:rsid w:val="00D33437"/>
    <w:rsid w:val="00D33D15"/>
    <w:rsid w:val="00D417C1"/>
    <w:rsid w:val="00D54E05"/>
    <w:rsid w:val="00D56E44"/>
    <w:rsid w:val="00D60BA2"/>
    <w:rsid w:val="00D63352"/>
    <w:rsid w:val="00D63F0E"/>
    <w:rsid w:val="00D66C76"/>
    <w:rsid w:val="00D724AC"/>
    <w:rsid w:val="00D74503"/>
    <w:rsid w:val="00D872BC"/>
    <w:rsid w:val="00D92D20"/>
    <w:rsid w:val="00D97E05"/>
    <w:rsid w:val="00DA1B44"/>
    <w:rsid w:val="00DB26FC"/>
    <w:rsid w:val="00DE11B4"/>
    <w:rsid w:val="00DE1236"/>
    <w:rsid w:val="00DE4D63"/>
    <w:rsid w:val="00E02299"/>
    <w:rsid w:val="00E06179"/>
    <w:rsid w:val="00E070CC"/>
    <w:rsid w:val="00E0798D"/>
    <w:rsid w:val="00E12F7F"/>
    <w:rsid w:val="00E2201E"/>
    <w:rsid w:val="00E26B6E"/>
    <w:rsid w:val="00E273BB"/>
    <w:rsid w:val="00E31401"/>
    <w:rsid w:val="00E32975"/>
    <w:rsid w:val="00E33AB1"/>
    <w:rsid w:val="00E36767"/>
    <w:rsid w:val="00E41843"/>
    <w:rsid w:val="00E44A48"/>
    <w:rsid w:val="00E44F93"/>
    <w:rsid w:val="00E535C3"/>
    <w:rsid w:val="00E54772"/>
    <w:rsid w:val="00E54DCD"/>
    <w:rsid w:val="00E621FA"/>
    <w:rsid w:val="00E65750"/>
    <w:rsid w:val="00E675A7"/>
    <w:rsid w:val="00E72B0E"/>
    <w:rsid w:val="00E8313E"/>
    <w:rsid w:val="00E83213"/>
    <w:rsid w:val="00E849CD"/>
    <w:rsid w:val="00E9055A"/>
    <w:rsid w:val="00E91C40"/>
    <w:rsid w:val="00E95700"/>
    <w:rsid w:val="00E95B93"/>
    <w:rsid w:val="00EB3E41"/>
    <w:rsid w:val="00EC0AE2"/>
    <w:rsid w:val="00EC0CC9"/>
    <w:rsid w:val="00EC295A"/>
    <w:rsid w:val="00EC46A6"/>
    <w:rsid w:val="00EC4958"/>
    <w:rsid w:val="00EC5C16"/>
    <w:rsid w:val="00ED1E78"/>
    <w:rsid w:val="00ED4F93"/>
    <w:rsid w:val="00ED780D"/>
    <w:rsid w:val="00EE36A3"/>
    <w:rsid w:val="00EE3DB4"/>
    <w:rsid w:val="00EE6672"/>
    <w:rsid w:val="00EE6CD4"/>
    <w:rsid w:val="00EF071C"/>
    <w:rsid w:val="00EF14E2"/>
    <w:rsid w:val="00EF2AF2"/>
    <w:rsid w:val="00EF33FF"/>
    <w:rsid w:val="00EF7B23"/>
    <w:rsid w:val="00F13A63"/>
    <w:rsid w:val="00F141F0"/>
    <w:rsid w:val="00F167DE"/>
    <w:rsid w:val="00F16F87"/>
    <w:rsid w:val="00F20A24"/>
    <w:rsid w:val="00F23C44"/>
    <w:rsid w:val="00F26AA0"/>
    <w:rsid w:val="00F27C01"/>
    <w:rsid w:val="00F30641"/>
    <w:rsid w:val="00F43756"/>
    <w:rsid w:val="00F43A67"/>
    <w:rsid w:val="00F46A8E"/>
    <w:rsid w:val="00F529F0"/>
    <w:rsid w:val="00F62C9E"/>
    <w:rsid w:val="00F6439B"/>
    <w:rsid w:val="00F72093"/>
    <w:rsid w:val="00F743A5"/>
    <w:rsid w:val="00F74738"/>
    <w:rsid w:val="00F76A17"/>
    <w:rsid w:val="00F91C21"/>
    <w:rsid w:val="00F933D7"/>
    <w:rsid w:val="00F94E35"/>
    <w:rsid w:val="00F95AA6"/>
    <w:rsid w:val="00F97842"/>
    <w:rsid w:val="00FA380E"/>
    <w:rsid w:val="00FA630F"/>
    <w:rsid w:val="00FB0CED"/>
    <w:rsid w:val="00FB35C5"/>
    <w:rsid w:val="00FB41AC"/>
    <w:rsid w:val="00FB7479"/>
    <w:rsid w:val="00FC422B"/>
    <w:rsid w:val="00FD0F71"/>
    <w:rsid w:val="00FD3C16"/>
    <w:rsid w:val="00FD6366"/>
    <w:rsid w:val="00FE45C8"/>
    <w:rsid w:val="00FE6F65"/>
    <w:rsid w:val="00FF4215"/>
    <w:rsid w:val="01577232"/>
    <w:rsid w:val="017C3BC3"/>
    <w:rsid w:val="01B40C06"/>
    <w:rsid w:val="01E34DF9"/>
    <w:rsid w:val="026054A7"/>
    <w:rsid w:val="02881B40"/>
    <w:rsid w:val="029D7E0E"/>
    <w:rsid w:val="02C408FD"/>
    <w:rsid w:val="02D768EE"/>
    <w:rsid w:val="032F4101"/>
    <w:rsid w:val="0386068D"/>
    <w:rsid w:val="038A10A3"/>
    <w:rsid w:val="03907B07"/>
    <w:rsid w:val="039C6F92"/>
    <w:rsid w:val="03AB485F"/>
    <w:rsid w:val="04487934"/>
    <w:rsid w:val="04540AED"/>
    <w:rsid w:val="048243D7"/>
    <w:rsid w:val="04AF2D6A"/>
    <w:rsid w:val="04F43CFE"/>
    <w:rsid w:val="0523326E"/>
    <w:rsid w:val="05A96AB9"/>
    <w:rsid w:val="05EC7C78"/>
    <w:rsid w:val="06250D8E"/>
    <w:rsid w:val="06391792"/>
    <w:rsid w:val="069112B1"/>
    <w:rsid w:val="06A51757"/>
    <w:rsid w:val="06BE08D3"/>
    <w:rsid w:val="06E93649"/>
    <w:rsid w:val="06EC14B2"/>
    <w:rsid w:val="072772CB"/>
    <w:rsid w:val="0745441F"/>
    <w:rsid w:val="07545E0D"/>
    <w:rsid w:val="077F502D"/>
    <w:rsid w:val="07BE65C9"/>
    <w:rsid w:val="080A04AA"/>
    <w:rsid w:val="08672E2F"/>
    <w:rsid w:val="089671CE"/>
    <w:rsid w:val="08FE697A"/>
    <w:rsid w:val="090E5A20"/>
    <w:rsid w:val="0937401C"/>
    <w:rsid w:val="096711B6"/>
    <w:rsid w:val="09916381"/>
    <w:rsid w:val="099B71EC"/>
    <w:rsid w:val="099C0E16"/>
    <w:rsid w:val="0A1C6B89"/>
    <w:rsid w:val="0A2827EF"/>
    <w:rsid w:val="0B4A62F6"/>
    <w:rsid w:val="0B613480"/>
    <w:rsid w:val="0B637863"/>
    <w:rsid w:val="0BAA06F0"/>
    <w:rsid w:val="0BF55298"/>
    <w:rsid w:val="0C3E5D0A"/>
    <w:rsid w:val="0C892991"/>
    <w:rsid w:val="0CEC7AC4"/>
    <w:rsid w:val="0CED1C23"/>
    <w:rsid w:val="0D5B517E"/>
    <w:rsid w:val="0D821721"/>
    <w:rsid w:val="0D827406"/>
    <w:rsid w:val="0D861CD3"/>
    <w:rsid w:val="0DF57EBA"/>
    <w:rsid w:val="0E2C2521"/>
    <w:rsid w:val="0E31529C"/>
    <w:rsid w:val="0E435214"/>
    <w:rsid w:val="0E567760"/>
    <w:rsid w:val="0E745121"/>
    <w:rsid w:val="0E821584"/>
    <w:rsid w:val="0EA92768"/>
    <w:rsid w:val="0EB130DD"/>
    <w:rsid w:val="0EC92D11"/>
    <w:rsid w:val="0EF2253E"/>
    <w:rsid w:val="0F371065"/>
    <w:rsid w:val="0F5D3AD7"/>
    <w:rsid w:val="0FB373C2"/>
    <w:rsid w:val="10003167"/>
    <w:rsid w:val="1041456A"/>
    <w:rsid w:val="10B47D54"/>
    <w:rsid w:val="10EA107C"/>
    <w:rsid w:val="10F152D1"/>
    <w:rsid w:val="10F4167B"/>
    <w:rsid w:val="11016338"/>
    <w:rsid w:val="111605D9"/>
    <w:rsid w:val="111B440F"/>
    <w:rsid w:val="112C5508"/>
    <w:rsid w:val="115A4FAB"/>
    <w:rsid w:val="11C5518A"/>
    <w:rsid w:val="11DE69DD"/>
    <w:rsid w:val="11FD174D"/>
    <w:rsid w:val="12AD718F"/>
    <w:rsid w:val="12B61FEA"/>
    <w:rsid w:val="130F2055"/>
    <w:rsid w:val="13197F0F"/>
    <w:rsid w:val="13283191"/>
    <w:rsid w:val="134A3C15"/>
    <w:rsid w:val="134B2305"/>
    <w:rsid w:val="137A3EF7"/>
    <w:rsid w:val="139F39C6"/>
    <w:rsid w:val="13FC4E27"/>
    <w:rsid w:val="148E5DF8"/>
    <w:rsid w:val="14D15D06"/>
    <w:rsid w:val="154E431F"/>
    <w:rsid w:val="15B056E5"/>
    <w:rsid w:val="15C768C5"/>
    <w:rsid w:val="161A45DE"/>
    <w:rsid w:val="16A2340F"/>
    <w:rsid w:val="16CE17BE"/>
    <w:rsid w:val="16EA2A6A"/>
    <w:rsid w:val="16F80569"/>
    <w:rsid w:val="17140C26"/>
    <w:rsid w:val="17F424AD"/>
    <w:rsid w:val="18A42CA0"/>
    <w:rsid w:val="18EE1564"/>
    <w:rsid w:val="19435793"/>
    <w:rsid w:val="19771EDF"/>
    <w:rsid w:val="19CD675B"/>
    <w:rsid w:val="19E4542B"/>
    <w:rsid w:val="19E74118"/>
    <w:rsid w:val="1A097045"/>
    <w:rsid w:val="1A3A2DE0"/>
    <w:rsid w:val="1A422706"/>
    <w:rsid w:val="1AB25031"/>
    <w:rsid w:val="1AE939B8"/>
    <w:rsid w:val="1B15334C"/>
    <w:rsid w:val="1B5A41CD"/>
    <w:rsid w:val="1B624A38"/>
    <w:rsid w:val="1B7376B4"/>
    <w:rsid w:val="1BA37954"/>
    <w:rsid w:val="1C6576BA"/>
    <w:rsid w:val="1D070E95"/>
    <w:rsid w:val="1D1C6F26"/>
    <w:rsid w:val="1D2A548F"/>
    <w:rsid w:val="1D9930A3"/>
    <w:rsid w:val="1D9B0042"/>
    <w:rsid w:val="1DF0590F"/>
    <w:rsid w:val="1E0326BA"/>
    <w:rsid w:val="1E7000A9"/>
    <w:rsid w:val="1E7E1343"/>
    <w:rsid w:val="1EB2462D"/>
    <w:rsid w:val="1ED316C4"/>
    <w:rsid w:val="1F0A72E5"/>
    <w:rsid w:val="1F18457B"/>
    <w:rsid w:val="1F2F5BB3"/>
    <w:rsid w:val="1FAB251C"/>
    <w:rsid w:val="1FC71F3D"/>
    <w:rsid w:val="20FC6AF6"/>
    <w:rsid w:val="20FE28AF"/>
    <w:rsid w:val="2186585E"/>
    <w:rsid w:val="21A53261"/>
    <w:rsid w:val="21B829B1"/>
    <w:rsid w:val="21CE131A"/>
    <w:rsid w:val="223C1057"/>
    <w:rsid w:val="226C63DB"/>
    <w:rsid w:val="22AA21B7"/>
    <w:rsid w:val="235403A6"/>
    <w:rsid w:val="23962806"/>
    <w:rsid w:val="23A26788"/>
    <w:rsid w:val="23A70DFA"/>
    <w:rsid w:val="23C57ECD"/>
    <w:rsid w:val="23D82DB4"/>
    <w:rsid w:val="23E81CBE"/>
    <w:rsid w:val="23F9579F"/>
    <w:rsid w:val="241A5173"/>
    <w:rsid w:val="24314B90"/>
    <w:rsid w:val="24DC3957"/>
    <w:rsid w:val="24EF05CB"/>
    <w:rsid w:val="251233D5"/>
    <w:rsid w:val="256E19BE"/>
    <w:rsid w:val="25876083"/>
    <w:rsid w:val="25DA4976"/>
    <w:rsid w:val="26333BE6"/>
    <w:rsid w:val="265B1527"/>
    <w:rsid w:val="26626FE6"/>
    <w:rsid w:val="26A83CB0"/>
    <w:rsid w:val="26C04997"/>
    <w:rsid w:val="26FE502A"/>
    <w:rsid w:val="270C53C6"/>
    <w:rsid w:val="277A037D"/>
    <w:rsid w:val="27867409"/>
    <w:rsid w:val="27FD3EE7"/>
    <w:rsid w:val="283A066B"/>
    <w:rsid w:val="287A7468"/>
    <w:rsid w:val="289555AD"/>
    <w:rsid w:val="29016B29"/>
    <w:rsid w:val="2913394C"/>
    <w:rsid w:val="292245AF"/>
    <w:rsid w:val="29254F24"/>
    <w:rsid w:val="294C71F8"/>
    <w:rsid w:val="294E0CE7"/>
    <w:rsid w:val="29704A9E"/>
    <w:rsid w:val="2985625A"/>
    <w:rsid w:val="29A50E6A"/>
    <w:rsid w:val="29E825D3"/>
    <w:rsid w:val="2A240791"/>
    <w:rsid w:val="2A580245"/>
    <w:rsid w:val="2A93577C"/>
    <w:rsid w:val="2AC22611"/>
    <w:rsid w:val="2AEB1D70"/>
    <w:rsid w:val="2BD925D7"/>
    <w:rsid w:val="2BDE2C88"/>
    <w:rsid w:val="2C044BF3"/>
    <w:rsid w:val="2C5F31F7"/>
    <w:rsid w:val="2C734FC8"/>
    <w:rsid w:val="2C9D2DF8"/>
    <w:rsid w:val="2CF94A29"/>
    <w:rsid w:val="2D002450"/>
    <w:rsid w:val="2D5312DF"/>
    <w:rsid w:val="2D896D0C"/>
    <w:rsid w:val="2DC62D1E"/>
    <w:rsid w:val="2E101A7E"/>
    <w:rsid w:val="2E180DE8"/>
    <w:rsid w:val="2E3D1ACA"/>
    <w:rsid w:val="2E6B579D"/>
    <w:rsid w:val="2ED77982"/>
    <w:rsid w:val="2F0A3A54"/>
    <w:rsid w:val="2F3E7AD2"/>
    <w:rsid w:val="2FFB46AF"/>
    <w:rsid w:val="30016847"/>
    <w:rsid w:val="305A58E9"/>
    <w:rsid w:val="30824DDC"/>
    <w:rsid w:val="30920430"/>
    <w:rsid w:val="309472A4"/>
    <w:rsid w:val="317B1F59"/>
    <w:rsid w:val="318A4283"/>
    <w:rsid w:val="32026033"/>
    <w:rsid w:val="323922EC"/>
    <w:rsid w:val="32766693"/>
    <w:rsid w:val="32994C24"/>
    <w:rsid w:val="32C450D5"/>
    <w:rsid w:val="331137AB"/>
    <w:rsid w:val="335D5DA9"/>
    <w:rsid w:val="33AA0E82"/>
    <w:rsid w:val="33BA6FAA"/>
    <w:rsid w:val="33C11557"/>
    <w:rsid w:val="34AF3055"/>
    <w:rsid w:val="35BF7EF1"/>
    <w:rsid w:val="3614328F"/>
    <w:rsid w:val="36375C62"/>
    <w:rsid w:val="36417CF8"/>
    <w:rsid w:val="36725439"/>
    <w:rsid w:val="36B10C6D"/>
    <w:rsid w:val="36B61B60"/>
    <w:rsid w:val="36C16F48"/>
    <w:rsid w:val="36D840B5"/>
    <w:rsid w:val="36DB00E9"/>
    <w:rsid w:val="36E75057"/>
    <w:rsid w:val="36F52A41"/>
    <w:rsid w:val="375C25BD"/>
    <w:rsid w:val="37875F11"/>
    <w:rsid w:val="37A24A6E"/>
    <w:rsid w:val="381B3A7D"/>
    <w:rsid w:val="386E12AA"/>
    <w:rsid w:val="396709C4"/>
    <w:rsid w:val="39916AF0"/>
    <w:rsid w:val="39936674"/>
    <w:rsid w:val="399506BD"/>
    <w:rsid w:val="39BE0D9A"/>
    <w:rsid w:val="39D361B3"/>
    <w:rsid w:val="3A247B94"/>
    <w:rsid w:val="3A413D5A"/>
    <w:rsid w:val="3AD36C38"/>
    <w:rsid w:val="3B3403C3"/>
    <w:rsid w:val="3B5F264D"/>
    <w:rsid w:val="3B72400B"/>
    <w:rsid w:val="3C1918F2"/>
    <w:rsid w:val="3C3F44FF"/>
    <w:rsid w:val="3D0C6484"/>
    <w:rsid w:val="3D477772"/>
    <w:rsid w:val="3D642B8D"/>
    <w:rsid w:val="3DAD65CC"/>
    <w:rsid w:val="3DB61502"/>
    <w:rsid w:val="3E010233"/>
    <w:rsid w:val="3E276C01"/>
    <w:rsid w:val="3EC67AC6"/>
    <w:rsid w:val="3F384684"/>
    <w:rsid w:val="3F55424E"/>
    <w:rsid w:val="3FE864ED"/>
    <w:rsid w:val="3FF5B68E"/>
    <w:rsid w:val="3FFF7618"/>
    <w:rsid w:val="40524679"/>
    <w:rsid w:val="41570631"/>
    <w:rsid w:val="415C20F7"/>
    <w:rsid w:val="41786E1E"/>
    <w:rsid w:val="41C02E47"/>
    <w:rsid w:val="41C62049"/>
    <w:rsid w:val="41EF4EBE"/>
    <w:rsid w:val="41F32C74"/>
    <w:rsid w:val="4221156F"/>
    <w:rsid w:val="42225FD9"/>
    <w:rsid w:val="423C570B"/>
    <w:rsid w:val="42615FC5"/>
    <w:rsid w:val="42967E42"/>
    <w:rsid w:val="42A7059E"/>
    <w:rsid w:val="42FF3043"/>
    <w:rsid w:val="432A1040"/>
    <w:rsid w:val="437C2ED6"/>
    <w:rsid w:val="43831389"/>
    <w:rsid w:val="439C63DF"/>
    <w:rsid w:val="43ED5A13"/>
    <w:rsid w:val="444D4B37"/>
    <w:rsid w:val="446524A1"/>
    <w:rsid w:val="446626BD"/>
    <w:rsid w:val="44BE07D9"/>
    <w:rsid w:val="451611F6"/>
    <w:rsid w:val="458B37CA"/>
    <w:rsid w:val="458C7C18"/>
    <w:rsid w:val="45B57E74"/>
    <w:rsid w:val="46054094"/>
    <w:rsid w:val="464B6ED6"/>
    <w:rsid w:val="46E5677F"/>
    <w:rsid w:val="46FC7C9E"/>
    <w:rsid w:val="473C4F36"/>
    <w:rsid w:val="481B35A5"/>
    <w:rsid w:val="484C1017"/>
    <w:rsid w:val="487724AD"/>
    <w:rsid w:val="48A758B6"/>
    <w:rsid w:val="48C360B2"/>
    <w:rsid w:val="48C57DA4"/>
    <w:rsid w:val="48E20B9B"/>
    <w:rsid w:val="491A4C34"/>
    <w:rsid w:val="4A755C0A"/>
    <w:rsid w:val="4AAE60E5"/>
    <w:rsid w:val="4B377918"/>
    <w:rsid w:val="4B594EE9"/>
    <w:rsid w:val="4B612A39"/>
    <w:rsid w:val="4C5F36B2"/>
    <w:rsid w:val="4C6B3BAA"/>
    <w:rsid w:val="4C775D6C"/>
    <w:rsid w:val="4CF571BA"/>
    <w:rsid w:val="4D0535CC"/>
    <w:rsid w:val="4D144664"/>
    <w:rsid w:val="4D4C0170"/>
    <w:rsid w:val="4D6934B5"/>
    <w:rsid w:val="4DFA4C44"/>
    <w:rsid w:val="4E0F0547"/>
    <w:rsid w:val="4E177262"/>
    <w:rsid w:val="4E1A0B05"/>
    <w:rsid w:val="4F49629E"/>
    <w:rsid w:val="4F8D0383"/>
    <w:rsid w:val="4FAB639E"/>
    <w:rsid w:val="4FDD49BC"/>
    <w:rsid w:val="4FF421B4"/>
    <w:rsid w:val="50164E79"/>
    <w:rsid w:val="504338E1"/>
    <w:rsid w:val="50A02524"/>
    <w:rsid w:val="50CE2E68"/>
    <w:rsid w:val="50F87E96"/>
    <w:rsid w:val="51215B18"/>
    <w:rsid w:val="5196759E"/>
    <w:rsid w:val="51C147EA"/>
    <w:rsid w:val="51EC1214"/>
    <w:rsid w:val="51F162B2"/>
    <w:rsid w:val="52036AFF"/>
    <w:rsid w:val="52286541"/>
    <w:rsid w:val="52A15CC9"/>
    <w:rsid w:val="52DB417A"/>
    <w:rsid w:val="54101469"/>
    <w:rsid w:val="542E50BE"/>
    <w:rsid w:val="54367BA8"/>
    <w:rsid w:val="54617A0D"/>
    <w:rsid w:val="548C494D"/>
    <w:rsid w:val="549D03FE"/>
    <w:rsid w:val="54CF74C2"/>
    <w:rsid w:val="54E82E0F"/>
    <w:rsid w:val="5567591F"/>
    <w:rsid w:val="5577615B"/>
    <w:rsid w:val="55CE23FE"/>
    <w:rsid w:val="56435A71"/>
    <w:rsid w:val="56BA3299"/>
    <w:rsid w:val="56E56A5A"/>
    <w:rsid w:val="57585BA4"/>
    <w:rsid w:val="575B5092"/>
    <w:rsid w:val="581229F6"/>
    <w:rsid w:val="595841FF"/>
    <w:rsid w:val="59637CEE"/>
    <w:rsid w:val="59904E8B"/>
    <w:rsid w:val="59BD7460"/>
    <w:rsid w:val="5A231AE8"/>
    <w:rsid w:val="5A2C4116"/>
    <w:rsid w:val="5A324F4B"/>
    <w:rsid w:val="5A9A53AC"/>
    <w:rsid w:val="5AA20D9D"/>
    <w:rsid w:val="5AEA0E1C"/>
    <w:rsid w:val="5B3C509D"/>
    <w:rsid w:val="5B743BCB"/>
    <w:rsid w:val="5B8F6EE2"/>
    <w:rsid w:val="5BB557C0"/>
    <w:rsid w:val="5BF721BE"/>
    <w:rsid w:val="5C1C7CF1"/>
    <w:rsid w:val="5C5E0FBE"/>
    <w:rsid w:val="5D2766FB"/>
    <w:rsid w:val="5D315AC1"/>
    <w:rsid w:val="5D92142E"/>
    <w:rsid w:val="5DAC2C7F"/>
    <w:rsid w:val="5DEB7A0C"/>
    <w:rsid w:val="5DF55075"/>
    <w:rsid w:val="5E0E5FE6"/>
    <w:rsid w:val="5E236C50"/>
    <w:rsid w:val="5E6E766E"/>
    <w:rsid w:val="5E887102"/>
    <w:rsid w:val="5E9152CB"/>
    <w:rsid w:val="5F1E43C2"/>
    <w:rsid w:val="5F416193"/>
    <w:rsid w:val="5F4B552A"/>
    <w:rsid w:val="5F6510BD"/>
    <w:rsid w:val="5F745955"/>
    <w:rsid w:val="5F856924"/>
    <w:rsid w:val="5F9A4585"/>
    <w:rsid w:val="5FDB104A"/>
    <w:rsid w:val="603311A1"/>
    <w:rsid w:val="6045684E"/>
    <w:rsid w:val="606C5CFF"/>
    <w:rsid w:val="608E5546"/>
    <w:rsid w:val="60C801AD"/>
    <w:rsid w:val="60E15E4B"/>
    <w:rsid w:val="613414D3"/>
    <w:rsid w:val="6151530B"/>
    <w:rsid w:val="61AD75F0"/>
    <w:rsid w:val="61D342E4"/>
    <w:rsid w:val="61E07B86"/>
    <w:rsid w:val="61F213C0"/>
    <w:rsid w:val="62295B61"/>
    <w:rsid w:val="627774A4"/>
    <w:rsid w:val="631E3504"/>
    <w:rsid w:val="63DB71A1"/>
    <w:rsid w:val="64503C1C"/>
    <w:rsid w:val="646A1129"/>
    <w:rsid w:val="64895786"/>
    <w:rsid w:val="64CD3806"/>
    <w:rsid w:val="652A390E"/>
    <w:rsid w:val="65303BEA"/>
    <w:rsid w:val="653F1202"/>
    <w:rsid w:val="6556312C"/>
    <w:rsid w:val="65F523A6"/>
    <w:rsid w:val="665C2FF0"/>
    <w:rsid w:val="66AA3B93"/>
    <w:rsid w:val="67074059"/>
    <w:rsid w:val="673E2ADB"/>
    <w:rsid w:val="676104D8"/>
    <w:rsid w:val="6776253F"/>
    <w:rsid w:val="677C64E9"/>
    <w:rsid w:val="6793548B"/>
    <w:rsid w:val="68013273"/>
    <w:rsid w:val="68062FC8"/>
    <w:rsid w:val="68246BFD"/>
    <w:rsid w:val="68766A33"/>
    <w:rsid w:val="68C47B1D"/>
    <w:rsid w:val="68CA5C3B"/>
    <w:rsid w:val="69892233"/>
    <w:rsid w:val="6A4468B1"/>
    <w:rsid w:val="6AB24EDF"/>
    <w:rsid w:val="6BC77D72"/>
    <w:rsid w:val="6BFA1A7B"/>
    <w:rsid w:val="6C277C5F"/>
    <w:rsid w:val="6C68011A"/>
    <w:rsid w:val="6CA466E7"/>
    <w:rsid w:val="6CB0057C"/>
    <w:rsid w:val="6CC56367"/>
    <w:rsid w:val="6D1B37B0"/>
    <w:rsid w:val="6D394F0C"/>
    <w:rsid w:val="6E7828AC"/>
    <w:rsid w:val="6E854B40"/>
    <w:rsid w:val="6EAE5472"/>
    <w:rsid w:val="6EF717BC"/>
    <w:rsid w:val="6EFE35A8"/>
    <w:rsid w:val="6F2351BC"/>
    <w:rsid w:val="6F483536"/>
    <w:rsid w:val="6F6F407E"/>
    <w:rsid w:val="6F734C5C"/>
    <w:rsid w:val="700F7661"/>
    <w:rsid w:val="703656F9"/>
    <w:rsid w:val="70714C0A"/>
    <w:rsid w:val="70DB06CC"/>
    <w:rsid w:val="71083ECB"/>
    <w:rsid w:val="710A5F9F"/>
    <w:rsid w:val="710F48B3"/>
    <w:rsid w:val="71827032"/>
    <w:rsid w:val="726F450B"/>
    <w:rsid w:val="72894E6B"/>
    <w:rsid w:val="735943ED"/>
    <w:rsid w:val="73A22A85"/>
    <w:rsid w:val="74494D92"/>
    <w:rsid w:val="748C3F03"/>
    <w:rsid w:val="749E203D"/>
    <w:rsid w:val="74EB6A21"/>
    <w:rsid w:val="75016E65"/>
    <w:rsid w:val="75406B41"/>
    <w:rsid w:val="75E95199"/>
    <w:rsid w:val="766F0C55"/>
    <w:rsid w:val="767024E6"/>
    <w:rsid w:val="767C1E15"/>
    <w:rsid w:val="76F3387D"/>
    <w:rsid w:val="77396FDF"/>
    <w:rsid w:val="77527660"/>
    <w:rsid w:val="778E4E74"/>
    <w:rsid w:val="77CA375F"/>
    <w:rsid w:val="77F4090C"/>
    <w:rsid w:val="77F5A189"/>
    <w:rsid w:val="780C7113"/>
    <w:rsid w:val="781A773F"/>
    <w:rsid w:val="78895C14"/>
    <w:rsid w:val="78CF75F0"/>
    <w:rsid w:val="78DB7975"/>
    <w:rsid w:val="7902584D"/>
    <w:rsid w:val="79BD73F0"/>
    <w:rsid w:val="79CE5F86"/>
    <w:rsid w:val="7A206ACF"/>
    <w:rsid w:val="7A6978F9"/>
    <w:rsid w:val="7AEE204F"/>
    <w:rsid w:val="7B33185E"/>
    <w:rsid w:val="7B7C2350"/>
    <w:rsid w:val="7CBD38D4"/>
    <w:rsid w:val="7CD461AB"/>
    <w:rsid w:val="7D4F01BC"/>
    <w:rsid w:val="7D5738C4"/>
    <w:rsid w:val="7D7C73BB"/>
    <w:rsid w:val="7DB469D5"/>
    <w:rsid w:val="7DE70A55"/>
    <w:rsid w:val="7E592229"/>
    <w:rsid w:val="7E601571"/>
    <w:rsid w:val="7E861FE0"/>
    <w:rsid w:val="7EC73710"/>
    <w:rsid w:val="7F00280E"/>
    <w:rsid w:val="7F413D0D"/>
    <w:rsid w:val="7F432B09"/>
    <w:rsid w:val="7F492E9C"/>
    <w:rsid w:val="7F4C292B"/>
    <w:rsid w:val="7FA53A5A"/>
    <w:rsid w:val="95EF7417"/>
    <w:rsid w:val="BD3B151F"/>
    <w:rsid w:val="D7F9296C"/>
    <w:rsid w:val="E51F2428"/>
    <w:rsid w:val="E75FBA86"/>
    <w:rsid w:val="EDE708EF"/>
    <w:rsid w:val="EFDF63E3"/>
    <w:rsid w:val="FB5F6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99"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locked/>
    <w:uiPriority w:val="0"/>
    <w:pPr>
      <w:keepNext/>
      <w:jc w:val="center"/>
      <w:outlineLvl w:val="0"/>
    </w:pPr>
    <w:rPr>
      <w:rFonts w:eastAsia="楷体_GB2312"/>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1068"/>
    </w:pPr>
    <w:rPr>
      <w:sz w:val="32"/>
      <w:szCs w:val="32"/>
    </w:rPr>
  </w:style>
  <w:style w:type="paragraph" w:styleId="4">
    <w:name w:val="Body Text Indent"/>
    <w:basedOn w:val="1"/>
    <w:next w:val="5"/>
    <w:qFormat/>
    <w:uiPriority w:val="0"/>
    <w:pPr>
      <w:ind w:left="420" w:leftChars="200"/>
    </w:pPr>
  </w:style>
  <w:style w:type="paragraph" w:styleId="5">
    <w:name w:val="header"/>
    <w:basedOn w:val="1"/>
    <w:link w:val="18"/>
    <w:semiHidden/>
    <w:qFormat/>
    <w:uiPriority w:val="0"/>
    <w:pPr>
      <w:pBdr>
        <w:bottom w:val="single" w:color="auto" w:sz="6" w:space="1"/>
      </w:pBdr>
      <w:tabs>
        <w:tab w:val="center" w:pos="4153"/>
        <w:tab w:val="right" w:pos="8306"/>
      </w:tabs>
      <w:snapToGrid w:val="0"/>
      <w:jc w:val="center"/>
    </w:pPr>
    <w:rPr>
      <w:kern w:val="0"/>
      <w:sz w:val="18"/>
      <w:szCs w:val="18"/>
    </w:rPr>
  </w:style>
  <w:style w:type="paragraph" w:styleId="6">
    <w:name w:val="footer"/>
    <w:basedOn w:val="1"/>
    <w:link w:val="17"/>
    <w:qFormat/>
    <w:uiPriority w:val="99"/>
    <w:pPr>
      <w:tabs>
        <w:tab w:val="center" w:pos="4153"/>
        <w:tab w:val="right" w:pos="8306"/>
      </w:tabs>
      <w:snapToGrid w:val="0"/>
      <w:jc w:val="left"/>
    </w:pPr>
    <w:rPr>
      <w:kern w:val="0"/>
      <w:sz w:val="18"/>
      <w:szCs w:val="18"/>
    </w:rPr>
  </w:style>
  <w:style w:type="paragraph" w:styleId="7">
    <w:name w:val="Body Text 2"/>
    <w:basedOn w:val="1"/>
    <w:link w:val="19"/>
    <w:qFormat/>
    <w:uiPriority w:val="0"/>
    <w:pPr>
      <w:overflowPunct w:val="0"/>
      <w:autoSpaceDE w:val="0"/>
      <w:autoSpaceDN w:val="0"/>
      <w:jc w:val="center"/>
    </w:pPr>
    <w:rPr>
      <w:rFonts w:ascii="华文中宋" w:hAnsi="宋体" w:eastAsia="华文中宋"/>
      <w:b/>
      <w:kern w:val="0"/>
      <w:sz w:val="36"/>
      <w:szCs w:val="32"/>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link w:val="20"/>
    <w:qFormat/>
    <w:locked/>
    <w:uiPriority w:val="0"/>
    <w:pPr>
      <w:spacing w:before="240" w:after="60"/>
      <w:jc w:val="center"/>
      <w:outlineLvl w:val="0"/>
    </w:pPr>
    <w:rPr>
      <w:rFonts w:ascii="Cambria" w:hAnsi="Cambria"/>
      <w:b/>
      <w:bCs/>
      <w:sz w:val="32"/>
      <w:szCs w:val="32"/>
    </w:rPr>
  </w:style>
  <w:style w:type="paragraph" w:styleId="10">
    <w:name w:val="Body Text First Indent 2"/>
    <w:basedOn w:val="4"/>
    <w:next w:val="1"/>
    <w:qFormat/>
    <w:uiPriority w:val="0"/>
    <w:pPr>
      <w:ind w:firstLine="420" w:firstLineChars="200"/>
    </w:p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locked/>
    <w:uiPriority w:val="99"/>
    <w:rPr>
      <w:b/>
      <w:bCs/>
    </w:rPr>
  </w:style>
  <w:style w:type="character" w:styleId="15">
    <w:name w:val="page number"/>
    <w:basedOn w:val="13"/>
    <w:qFormat/>
    <w:uiPriority w:val="0"/>
  </w:style>
  <w:style w:type="character" w:styleId="16">
    <w:name w:val="Hyperlink"/>
    <w:basedOn w:val="13"/>
    <w:qFormat/>
    <w:uiPriority w:val="0"/>
    <w:rPr>
      <w:color w:val="0000FF"/>
      <w:u w:val="single"/>
    </w:rPr>
  </w:style>
  <w:style w:type="character" w:customStyle="1" w:styleId="17">
    <w:name w:val="页脚 Char"/>
    <w:link w:val="6"/>
    <w:qFormat/>
    <w:locked/>
    <w:uiPriority w:val="99"/>
    <w:rPr>
      <w:rFonts w:cs="Times New Roman"/>
      <w:sz w:val="18"/>
      <w:szCs w:val="18"/>
    </w:rPr>
  </w:style>
  <w:style w:type="character" w:customStyle="1" w:styleId="18">
    <w:name w:val="页眉 Char"/>
    <w:link w:val="5"/>
    <w:semiHidden/>
    <w:qFormat/>
    <w:locked/>
    <w:uiPriority w:val="0"/>
    <w:rPr>
      <w:rFonts w:cs="Times New Roman"/>
      <w:sz w:val="18"/>
      <w:szCs w:val="18"/>
    </w:rPr>
  </w:style>
  <w:style w:type="character" w:customStyle="1" w:styleId="19">
    <w:name w:val="正文文本 2 Char"/>
    <w:link w:val="7"/>
    <w:qFormat/>
    <w:uiPriority w:val="0"/>
    <w:rPr>
      <w:rFonts w:ascii="华文中宋" w:hAnsi="宋体" w:eastAsia="华文中宋"/>
      <w:b/>
      <w:sz w:val="36"/>
      <w:szCs w:val="32"/>
    </w:rPr>
  </w:style>
  <w:style w:type="character" w:customStyle="1" w:styleId="20">
    <w:name w:val="标题 Char"/>
    <w:link w:val="9"/>
    <w:qFormat/>
    <w:uiPriority w:val="0"/>
    <w:rPr>
      <w:rFonts w:ascii="Cambria" w:hAnsi="Cambria" w:cs="Times New Roman"/>
      <w:b/>
      <w:bCs/>
      <w:kern w:val="2"/>
      <w:sz w:val="32"/>
      <w:szCs w:val="32"/>
    </w:rPr>
  </w:style>
  <w:style w:type="character" w:customStyle="1" w:styleId="21">
    <w:name w:val="正文文本 2 Char1"/>
    <w:qFormat/>
    <w:uiPriority w:val="0"/>
    <w:rPr>
      <w:kern w:val="2"/>
      <w:sz w:val="21"/>
      <w:szCs w:val="22"/>
    </w:rPr>
  </w:style>
  <w:style w:type="paragraph" w:customStyle="1" w:styleId="22">
    <w:name w:val="Main Title"/>
    <w:next w:val="1"/>
    <w:qFormat/>
    <w:uiPriority w:val="0"/>
    <w:pPr>
      <w:adjustRightInd w:val="0"/>
      <w:snapToGrid w:val="0"/>
      <w:spacing w:afterLines="50" w:line="360" w:lineRule="auto"/>
      <w:jc w:val="center"/>
    </w:pPr>
    <w:rPr>
      <w:rFonts w:ascii="黑体" w:hAnsi="黑体" w:eastAsia="黑体" w:cs="黑体"/>
      <w:b/>
      <w:kern w:val="2"/>
      <w:sz w:val="36"/>
      <w:szCs w:val="22"/>
      <w:lang w:val="zh-CN" w:eastAsia="zh-CN" w:bidi="ar-SA"/>
    </w:rPr>
  </w:style>
  <w:style w:type="paragraph" w:customStyle="1" w:styleId="23">
    <w:name w:val="列出段落1"/>
    <w:basedOn w:val="1"/>
    <w:qFormat/>
    <w:uiPriority w:val="34"/>
    <w:pPr>
      <w:spacing w:line="360" w:lineRule="auto"/>
      <w:ind w:firstLine="420" w:firstLineChars="200"/>
    </w:pPr>
  </w:style>
  <w:style w:type="paragraph" w:customStyle="1" w:styleId="24">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6">
    <w:name w:val="Char Char Char Char Char Char Char"/>
    <w:basedOn w:val="1"/>
    <w:qFormat/>
    <w:uiPriority w:val="0"/>
    <w:pPr>
      <w:widowControl/>
      <w:spacing w:line="240" w:lineRule="exact"/>
      <w:jc w:val="left"/>
    </w:pPr>
  </w:style>
  <w:style w:type="paragraph" w:customStyle="1" w:styleId="27">
    <w:name w:val="List Paragraph1"/>
    <w:basedOn w:val="1"/>
    <w:qFormat/>
    <w:uiPriority w:val="0"/>
    <w:pPr>
      <w:ind w:firstLine="420" w:firstLineChars="200"/>
    </w:pPr>
  </w:style>
  <w:style w:type="paragraph" w:styleId="28">
    <w:name w:val="List Paragraph"/>
    <w:basedOn w:val="1"/>
    <w:qFormat/>
    <w:uiPriority w:val="34"/>
    <w:pPr>
      <w:widowControl/>
      <w:ind w:firstLine="420" w:firstLineChars="200"/>
      <w:jc w:val="left"/>
    </w:pPr>
    <w:rPr>
      <w:rFonts w:ascii="宋体" w:hAnsi="宋体" w:cs="宋体"/>
      <w:kern w:val="0"/>
      <w:sz w:val="24"/>
      <w:szCs w:val="24"/>
    </w:rPr>
  </w:style>
  <w:style w:type="paragraph" w:customStyle="1" w:styleId="29">
    <w:name w:val="Table Paragraph"/>
    <w:basedOn w:val="1"/>
    <w:qFormat/>
    <w:uiPriority w:val="1"/>
    <w:pPr>
      <w:spacing w:line="300" w:lineRule="exact"/>
      <w:ind w:left="1307"/>
    </w:pPr>
  </w:style>
  <w:style w:type="character" w:customStyle="1" w:styleId="30">
    <w:name w:val="Book Title"/>
    <w:basedOn w:val="13"/>
    <w:qFormat/>
    <w:uiPriority w:val="33"/>
    <w:rPr>
      <w:b/>
      <w:bCs/>
      <w:smallCaps/>
      <w:spacing w:val="5"/>
    </w:rPr>
  </w:style>
  <w:style w:type="paragraph" w:customStyle="1" w:styleId="31">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000</Company>
  <Pages>8</Pages>
  <Words>3682</Words>
  <Characters>3961</Characters>
  <Lines>24</Lines>
  <Paragraphs>6</Paragraphs>
  <TotalTime>2</TotalTime>
  <ScaleCrop>false</ScaleCrop>
  <LinksUpToDate>false</LinksUpToDate>
  <CharactersWithSpaces>4143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2018-06-18T02:55:00Z</dcterms:created>
  <dc:creator>马强</dc:creator>
  <cp:lastModifiedBy>聂红军</cp:lastModifiedBy>
  <cp:lastPrinted>2019-12-07T11:52:00Z</cp:lastPrinted>
  <dcterms:modified xsi:type="dcterms:W3CDTF">2024-10-10T09:37:32Z</dcterms:modified>
  <dc:title>EPC工程总承包专题</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ECBEDC954F4A4D4BB98B8A64FF5F278D_13</vt:lpwstr>
  </property>
</Properties>
</file>