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853D3">
      <w:pPr>
        <w:spacing w:line="240" w:lineRule="auto"/>
        <w:ind w:firstLine="6160" w:firstLineChars="2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-993775</wp:posOffset>
            </wp:positionH>
            <wp:positionV relativeFrom="paragraph">
              <wp:posOffset>-958215</wp:posOffset>
            </wp:positionV>
            <wp:extent cx="7660005" cy="10793730"/>
            <wp:effectExtent l="0" t="0" r="17145" b="7620"/>
            <wp:wrapNone/>
            <wp:docPr id="1" name="图片 1" descr="【修订】2004年项目谋划与投融资培训第四轮通知(4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【修订】2004年项目谋划与投融资培训第四轮通知(4)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60005" cy="1079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03E77F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17FF65C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1DA074D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9AE0B2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AE86470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F1DEDE0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6866410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95480B7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4930C9F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056F294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FE13C75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5EB45BA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1E28DDA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9C5400F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CF212C2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64CD3F9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124451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CDF42AA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1C059EB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A2CCF76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093BA95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362FE3D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FA083FE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4E76AB1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A0DDE62">
      <w:pPr>
        <w:spacing w:line="240" w:lineRule="auto"/>
        <w:ind w:firstLine="6160" w:firstLineChars="2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-1022350</wp:posOffset>
            </wp:positionH>
            <wp:positionV relativeFrom="paragraph">
              <wp:posOffset>-958215</wp:posOffset>
            </wp:positionV>
            <wp:extent cx="7679055" cy="10793730"/>
            <wp:effectExtent l="0" t="0" r="17145" b="7620"/>
            <wp:wrapNone/>
            <wp:docPr id="2" name="图片 2" descr="【修订】2004年项目谋划与投融资培训第四轮通知(4)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【修订】2004年项目谋划与投融资培训第四轮通知(4)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079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6DB51C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FB64027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1944A6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226230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868CCA4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AE1D731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106D3B7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E815242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1FB67CE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5860908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6CB700C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6D559A6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DCF7C05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4CC8911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AFE906A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60DCD35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9C0FE4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EBFED2F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C335F0D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5FB6344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623C87E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AF1BD15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3863CA">
      <w:pPr>
        <w:spacing w:line="540" w:lineRule="exact"/>
        <w:ind w:firstLine="6160" w:firstLineChars="2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91EC16E">
      <w:pPr>
        <w:spacing w:line="540" w:lineRule="exact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FBD6A9A">
      <w:pPr>
        <w:spacing w:line="50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 w14:paraId="5110EC49">
      <w:pPr>
        <w:spacing w:line="500" w:lineRule="exact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培训说明</w:t>
      </w:r>
    </w:p>
    <w:p w14:paraId="6FEB2A28">
      <w:pPr>
        <w:spacing w:line="500" w:lineRule="exact"/>
        <w:ind w:left="560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一、培训内容</w:t>
      </w:r>
    </w:p>
    <w:p w14:paraId="0D5BF769"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spacing w:val="8"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（一）</w:t>
      </w:r>
      <w:r>
        <w:rPr>
          <w:rFonts w:ascii="仿宋" w:hAnsi="仿宋" w:eastAsia="仿宋" w:cs="仿宋"/>
          <w:b/>
          <w:bCs/>
          <w:spacing w:val="8"/>
          <w:sz w:val="28"/>
          <w:szCs w:val="28"/>
        </w:rPr>
        <w:t>最新国家财政、金融和投融资政策的解读</w:t>
      </w:r>
    </w:p>
    <w:p w14:paraId="4978F6C7">
      <w:pPr>
        <w:spacing w:line="500" w:lineRule="exact"/>
        <w:ind w:firstLine="840" w:firstLineChars="3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ascii="仿宋" w:hAnsi="仿宋" w:eastAsia="仿宋" w:cs="仿宋"/>
          <w:bCs/>
          <w:sz w:val="28"/>
          <w:szCs w:val="28"/>
        </w:rPr>
        <w:t>二十届三中全会投融资体制改革要点</w:t>
      </w:r>
      <w:r>
        <w:rPr>
          <w:rFonts w:hint="eastAsia" w:ascii="仿宋" w:hAnsi="仿宋" w:eastAsia="仿宋" w:cs="仿宋"/>
          <w:bCs/>
          <w:sz w:val="28"/>
          <w:szCs w:val="28"/>
        </w:rPr>
        <w:t>及</w:t>
      </w:r>
      <w:r>
        <w:rPr>
          <w:rFonts w:ascii="仿宋" w:hAnsi="仿宋" w:eastAsia="仿宋" w:cs="仿宋"/>
          <w:bCs/>
          <w:sz w:val="28"/>
          <w:szCs w:val="28"/>
        </w:rPr>
        <w:t>财政体制改革对项目融资的影响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</w:p>
    <w:p w14:paraId="5892C1DF">
      <w:pPr>
        <w:spacing w:line="500" w:lineRule="exact"/>
        <w:ind w:firstLine="840" w:firstLineChars="3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</w:t>
      </w:r>
      <w:r>
        <w:rPr>
          <w:rFonts w:ascii="仿宋" w:hAnsi="仿宋" w:eastAsia="仿宋" w:cs="仿宋"/>
          <w:bCs/>
          <w:sz w:val="28"/>
          <w:szCs w:val="28"/>
        </w:rPr>
        <w:t>.我国当前经济形势、中央最新会议精神和财政金融政策对政府投融资的影响分析；</w:t>
      </w:r>
    </w:p>
    <w:p w14:paraId="19742A2F">
      <w:pPr>
        <w:spacing w:line="50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Cs/>
          <w:sz w:val="28"/>
          <w:szCs w:val="28"/>
        </w:rPr>
        <w:t>3</w:t>
      </w:r>
      <w:r>
        <w:rPr>
          <w:rFonts w:ascii="仿宋" w:hAnsi="仿宋" w:eastAsia="仿宋" w:cs="仿宋"/>
          <w:bCs/>
          <w:sz w:val="28"/>
          <w:szCs w:val="28"/>
        </w:rPr>
        <w:t>.从基础设施相关领域政策（如PPP新机制、基础设施REITs、专项债、超长期特别国债等），看未来政府投融资的重点方向和区域；</w:t>
      </w:r>
    </w:p>
    <w:p w14:paraId="6E8C402E">
      <w:pPr>
        <w:spacing w:line="50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Cs/>
          <w:sz w:val="28"/>
          <w:szCs w:val="28"/>
        </w:rPr>
        <w:t>4</w:t>
      </w:r>
      <w:r>
        <w:rPr>
          <w:rFonts w:ascii="仿宋" w:hAnsi="仿宋" w:eastAsia="仿宋" w:cs="仿宋"/>
          <w:bCs/>
          <w:sz w:val="28"/>
          <w:szCs w:val="28"/>
        </w:rPr>
        <w:t>.重点政府投融资政策的详解，如《政府投资条例》，财预50号文，国办发19号文，国办发35号文、47号文和134号文，国办函115号文，财资108号文</w:t>
      </w:r>
      <w:r>
        <w:rPr>
          <w:rFonts w:hint="eastAsia" w:ascii="仿宋" w:hAnsi="仿宋" w:eastAsia="仿宋" w:cs="仿宋"/>
          <w:bCs/>
          <w:sz w:val="28"/>
          <w:szCs w:val="28"/>
        </w:rPr>
        <w:t>及四部委150号文</w:t>
      </w:r>
      <w:r>
        <w:rPr>
          <w:rFonts w:ascii="仿宋" w:hAnsi="仿宋" w:eastAsia="仿宋" w:cs="仿宋"/>
          <w:bCs/>
          <w:sz w:val="28"/>
          <w:szCs w:val="28"/>
        </w:rPr>
        <w:t>等政策；</w:t>
      </w:r>
    </w:p>
    <w:p w14:paraId="0568855C">
      <w:pPr>
        <w:spacing w:line="50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Cs/>
          <w:sz w:val="28"/>
          <w:szCs w:val="28"/>
        </w:rPr>
        <w:t>5</w:t>
      </w:r>
      <w:r>
        <w:rPr>
          <w:rFonts w:ascii="仿宋" w:hAnsi="仿宋" w:eastAsia="仿宋" w:cs="仿宋"/>
          <w:bCs/>
          <w:sz w:val="28"/>
          <w:szCs w:val="28"/>
        </w:rPr>
        <w:t>.审计署最新工作报告、财政部最新债务报告等对地方政府投融资的影响和审计案例分析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</w:p>
    <w:p w14:paraId="712DB9AD">
      <w:pPr>
        <w:spacing w:line="500" w:lineRule="exact"/>
        <w:ind w:firstLine="840" w:firstLineChars="3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6.财政部最新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通报八起地方政府隐性债务问责典型案例解析。</w:t>
      </w:r>
    </w:p>
    <w:p w14:paraId="46D4D935">
      <w:pPr>
        <w:spacing w:line="500" w:lineRule="exact"/>
        <w:ind w:firstLine="594" w:firstLineChars="200"/>
        <w:rPr>
          <w:rFonts w:ascii="仿宋" w:hAnsi="仿宋" w:eastAsia="仿宋" w:cs="仿宋"/>
          <w:b/>
          <w:bCs/>
          <w:spacing w:val="8"/>
          <w:sz w:val="28"/>
          <w:szCs w:val="28"/>
        </w:rPr>
      </w:pPr>
      <w:r>
        <w:rPr>
          <w:rFonts w:ascii="仿宋" w:hAnsi="仿宋" w:eastAsia="仿宋" w:cs="仿宋"/>
          <w:b/>
          <w:bCs/>
          <w:spacing w:val="8"/>
          <w:sz w:val="28"/>
          <w:szCs w:val="28"/>
        </w:rPr>
        <w:t>（二）35号文背景下金融支持融资平台化债的实务和案例</w:t>
      </w:r>
    </w:p>
    <w:p w14:paraId="4591A335">
      <w:pPr>
        <w:spacing w:line="500" w:lineRule="exact"/>
        <w:ind w:firstLine="592" w:firstLineChars="200"/>
        <w:rPr>
          <w:rFonts w:ascii="仿宋" w:hAnsi="仿宋" w:eastAsia="仿宋" w:cs="仿宋"/>
          <w:spacing w:val="8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1.怎样理解地方国企的分类管理，针对名单内的融资平台融资“限制”、“福利”，以及存量债务借新还旧的要求及案例；</w:t>
      </w:r>
    </w:p>
    <w:p w14:paraId="39F950FF">
      <w:pPr>
        <w:spacing w:line="500" w:lineRule="exact"/>
        <w:ind w:firstLine="592" w:firstLineChars="200"/>
        <w:rPr>
          <w:rFonts w:ascii="仿宋" w:hAnsi="仿宋" w:eastAsia="仿宋" w:cs="仿宋"/>
          <w:spacing w:val="8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2.名单外参考融资平台公司管理的融资导向及实务，以及新增融资条件及案例；</w:t>
      </w:r>
    </w:p>
    <w:p w14:paraId="0DE7A9E0">
      <w:pPr>
        <w:spacing w:line="500" w:lineRule="exact"/>
        <w:ind w:firstLine="592" w:firstLineChars="200"/>
        <w:rPr>
          <w:rFonts w:ascii="仿宋" w:hAnsi="仿宋" w:eastAsia="仿宋" w:cs="仿宋"/>
          <w:spacing w:val="8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3.融资平台公司产业转型标准（335指标）解析及主体选择，以及如何建立防范融资平台公司债务风险长效机制；</w:t>
      </w:r>
    </w:p>
    <w:p w14:paraId="667D849F">
      <w:pPr>
        <w:spacing w:line="500" w:lineRule="exact"/>
        <w:ind w:firstLine="592" w:firstLineChars="200"/>
        <w:rPr>
          <w:rFonts w:ascii="仿宋" w:hAnsi="仿宋" w:eastAsia="仿宋" w:cs="仿宋"/>
          <w:spacing w:val="8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4.处于高风险地区或财务指标不达标时如何开展融资，非高风险地区且达到相关财务指标的情况下如何开展融资。</w:t>
      </w:r>
    </w:p>
    <w:p w14:paraId="053AAD99">
      <w:pPr>
        <w:spacing w:line="500" w:lineRule="exact"/>
        <w:ind w:firstLine="562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（三）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超长期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特别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国债项目储备谋划与申报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A0B56DD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1.超长期特别国债概念、申报范围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536CCCF9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2.国家重大战略实施和重点领域安全能力建设的范围和领域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FCEBA41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3.超长期特别国债投资五大领域的对标储备谋划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7545611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4.本次超长期特别国债与前几次国债有何不同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28C67A2C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5.超长期特别国债与中央预算内投资申请区别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7B805DCC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6.超长期特别国债项目储备谋划要求与实务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8210B77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7.超长期特别国债申报及审批流程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5984331F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8.超长期特别国债审核要点解析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80641E1">
      <w:pPr>
        <w:spacing w:line="500" w:lineRule="exact"/>
        <w:ind w:firstLine="562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（四）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地方政府专项债券项目谋划实务及案例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31EE558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1.2024年政府专项债券投资领域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变化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9E9F063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2.政府专项债券细分领域谋划包装注意问题及案例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134BF71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3.城投公司项目参与专项债的主要路径及案例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85051DE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4.专项债项目收入优化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方法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及案例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848D9B0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5.专项债券资金使用方式（直投、用作资本金、债务性资金）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1F9AD00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6.银行贷款与政府专项债券投资项目实务及案例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1990F41E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7.国企项目取得地方政府专项债券方式及资金会计处理方式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46D1D844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8.政府专项债券前期材料准备及申报流程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2FF33126">
      <w:pPr>
        <w:spacing w:line="500" w:lineRule="exact"/>
        <w:ind w:firstLine="560" w:firstLineChars="200"/>
        <w:rPr>
          <w:rFonts w:ascii="仿宋" w:hAnsi="仿宋" w:eastAsia="仿宋" w:cs="仿宋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（五）片区综合开发投融资模式及案例</w:t>
      </w:r>
    </w:p>
    <w:p w14:paraId="4915965E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1.政府授权国企与投资者合作模式；</w:t>
      </w:r>
    </w:p>
    <w:p w14:paraId="61C3C479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2.ABO模式自身存在的短板及缓释措施与案例；</w:t>
      </w:r>
    </w:p>
    <w:p w14:paraId="0AC3AEC7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3.地方政府对国有企业的政策及资源支持的途径及案例；</w:t>
      </w:r>
    </w:p>
    <w:p w14:paraId="7710B95F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4.投资人+EPC模式的合规性与违规性分析及片区包装设计；</w:t>
      </w:r>
    </w:p>
    <w:p w14:paraId="4F4CF262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5.投资人+EPC模式所涉及资产归属及回报机制设计；</w:t>
      </w:r>
    </w:p>
    <w:p w14:paraId="74D73AC1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6.如何识别市场中违规的“投资人+EPC”模式；</w:t>
      </w:r>
    </w:p>
    <w:p w14:paraId="09AF6029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7.避免“投资人+EPC”模式违规的操作要点；</w:t>
      </w:r>
    </w:p>
    <w:p w14:paraId="4DE74E31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8.“F+EPC”模式与“投资人+EPC”模式的区别与联系；</w:t>
      </w:r>
    </w:p>
    <w:p w14:paraId="52CCCBA5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9.如何促进“F+EPC”模式的合规性；</w:t>
      </w:r>
    </w:p>
    <w:p w14:paraId="50581010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10.封闭运作、滚动开发、自求平衡模式解析及架构图分析。</w:t>
      </w:r>
    </w:p>
    <w:p w14:paraId="6CA8ABAF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（六）城市更新项目投融资模式及案例</w:t>
      </w:r>
    </w:p>
    <w:p w14:paraId="08318C8F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1.城市更新的拆迁类、改建类、整治类内容解析；</w:t>
      </w:r>
    </w:p>
    <w:p w14:paraId="7B011E53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2.城市更新实施主体的确定方式及案例；</w:t>
      </w:r>
    </w:p>
    <w:p w14:paraId="62B8F147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3.老旧小区、老旧厂区、老旧街区、城中村改造的实施方式及案例；</w:t>
      </w:r>
    </w:p>
    <w:p w14:paraId="100C2D84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4.城市更新项目融资方式及案例；</w:t>
      </w:r>
    </w:p>
    <w:p w14:paraId="6CAF737E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5.社会资本参与城市更新模式及案例；</w:t>
      </w:r>
    </w:p>
    <w:p w14:paraId="5A3FD759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6.城市更新基金当前应用情况；</w:t>
      </w:r>
    </w:p>
    <w:p w14:paraId="51D77C0B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7.如何发挥地方国有企业在城市更新项目中的作用；</w:t>
      </w:r>
    </w:p>
    <w:p w14:paraId="4B6012C1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8.施工类央企参与城市更新项目的关注领域；</w:t>
      </w:r>
    </w:p>
    <w:p w14:paraId="2FC69564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9.如何提高施工类央企在城市更新项目中的市场竞争力；</w:t>
      </w:r>
    </w:p>
    <w:p w14:paraId="375E2CE4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10.城市更新中的财政支持政策；</w:t>
      </w:r>
    </w:p>
    <w:p w14:paraId="53D14C10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11.有关城市更新项目的金融政策。</w:t>
      </w:r>
    </w:p>
    <w:p w14:paraId="5C27D073">
      <w:pPr>
        <w:spacing w:line="500" w:lineRule="exact"/>
        <w:ind w:firstLine="594" w:firstLineChars="200"/>
        <w:rPr>
          <w:rFonts w:ascii="仿宋" w:hAnsi="仿宋" w:eastAsia="仿宋" w:cs="仿宋"/>
          <w:b/>
          <w:bCs/>
          <w:spacing w:val="8"/>
          <w:sz w:val="28"/>
          <w:szCs w:val="28"/>
        </w:rPr>
      </w:pPr>
      <w:r>
        <w:rPr>
          <w:rFonts w:ascii="仿宋" w:hAnsi="仿宋" w:eastAsia="仿宋" w:cs="仿宋"/>
          <w:b/>
          <w:bCs/>
          <w:spacing w:val="8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spacing w:val="8"/>
          <w:sz w:val="28"/>
          <w:szCs w:val="28"/>
        </w:rPr>
        <w:t>七</w:t>
      </w:r>
      <w:r>
        <w:rPr>
          <w:rFonts w:ascii="仿宋" w:hAnsi="仿宋" w:eastAsia="仿宋" w:cs="仿宋"/>
          <w:b/>
          <w:bCs/>
          <w:spacing w:val="8"/>
          <w:sz w:val="28"/>
          <w:szCs w:val="28"/>
        </w:rPr>
        <w:t>）重大产业投资项目的投融资谋划和决策分析</w:t>
      </w:r>
    </w:p>
    <w:p w14:paraId="777114B7">
      <w:pPr>
        <w:spacing w:line="500" w:lineRule="exact"/>
        <w:ind w:firstLine="592" w:firstLineChars="200"/>
        <w:rPr>
          <w:rFonts w:ascii="仿宋" w:hAnsi="仿宋" w:eastAsia="仿宋" w:cs="仿宋"/>
          <w:spacing w:val="8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1.地方政府和国企产业投资的经典案例分析；</w:t>
      </w:r>
    </w:p>
    <w:p w14:paraId="1E13BABA">
      <w:pPr>
        <w:spacing w:line="500" w:lineRule="exact"/>
        <w:ind w:firstLine="592" w:firstLineChars="200"/>
        <w:rPr>
          <w:rFonts w:ascii="仿宋" w:hAnsi="仿宋" w:eastAsia="仿宋" w:cs="仿宋"/>
          <w:spacing w:val="8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2.政府和地方国企股权类产业投资的可行性研究、决策分析报告和投资合规流程解析；</w:t>
      </w:r>
    </w:p>
    <w:p w14:paraId="5CFCD93B">
      <w:pPr>
        <w:spacing w:line="500" w:lineRule="exact"/>
        <w:ind w:firstLine="592" w:firstLineChars="200"/>
        <w:rPr>
          <w:rFonts w:ascii="仿宋" w:hAnsi="仿宋" w:eastAsia="仿宋" w:cs="仿宋"/>
          <w:spacing w:val="8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3.政府产业投资的全流程解决方案：“产业规划+招商服务+产业金融+资源导入”一体化产业服务体系。</w:t>
      </w:r>
    </w:p>
    <w:p w14:paraId="4769BD16"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、培训对象</w:t>
      </w:r>
    </w:p>
    <w:p w14:paraId="653CAA29">
      <w:pPr>
        <w:spacing w:line="500" w:lineRule="exact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各级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政府发展改革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、财政、环保、住建、交通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运输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、水利、农业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农村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、林草、文旅等部门工作人员；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城投公司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为代表的各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融资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平台公司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相关人员；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污水垃圾处理、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城乡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供水供气供热、仓储物流、新能源、环保及建筑施工等企业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有关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人员；银行、证券、基金、信托、保险等金融机构专业人员。</w:t>
      </w:r>
    </w:p>
    <w:p w14:paraId="0BB53998"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拟邀师资</w:t>
      </w:r>
    </w:p>
    <w:p w14:paraId="632728AF"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张朝元：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中国经济体制改革研究会副秘书长、培训中心主任，北京大学、清华大学投融资系列总裁研修班客座教授。</w:t>
      </w:r>
    </w:p>
    <w:p w14:paraId="4B3A8B52"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林晓东：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中国经济体制改革研究会理事、特聘授课专家，中国投资协会项目投融资专委会特聘专家、大成律师事务所合伙人。</w:t>
      </w:r>
    </w:p>
    <w:p w14:paraId="29B590B9">
      <w:pPr>
        <w:widowControl/>
        <w:spacing w:line="500" w:lineRule="exact"/>
        <w:ind w:firstLine="562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王小文：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住建部海绵城市试点考核专家，中国投资咨询有限责任公司战略与管理咨询事业部副总经理（主持工作）、研究中心主任。</w:t>
      </w:r>
    </w:p>
    <w:p w14:paraId="73432A59">
      <w:pPr>
        <w:pStyle w:val="6"/>
        <w:autoSpaceDE/>
        <w:autoSpaceDN/>
        <w:spacing w:line="500" w:lineRule="exact"/>
        <w:ind w:left="0" w:firstLine="562"/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温来成：</w:t>
      </w:r>
      <w:r>
        <w:fldChar w:fldCharType="begin"/>
      </w:r>
      <w:r>
        <w:instrText xml:space="preserve"> HYPERLINK "https://baike.so.com/doc/3296910-3472858.html" \t "https://baike.so.com/doc/_blank" </w:instrText>
      </w:r>
      <w:r>
        <w:fldChar w:fldCharType="separate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中国人民大学</w:t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经济学博士，</w:t>
      </w:r>
      <w:r>
        <w:fldChar w:fldCharType="begin"/>
      </w:r>
      <w:r>
        <w:instrText xml:space="preserve"> HYPERLINK "https://baike.so.com/doc/871579-921482.html" \t "https://baike.so.com/doc/_blank" </w:instrText>
      </w:r>
      <w:r>
        <w:fldChar w:fldCharType="separate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中央财经大学</w:t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教授，博士生导师，</w:t>
      </w:r>
      <w:r>
        <w:fldChar w:fldCharType="begin"/>
      </w:r>
      <w:r>
        <w:instrText xml:space="preserve"> HYPERLINK "https://baike.so.com/doc/5383824-5620225.html" \t "https://baike.so.com/doc/_blank" </w:instrText>
      </w:r>
      <w:r>
        <w:fldChar w:fldCharType="separate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国家社会科学基金</w:t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评审专家，</w:t>
      </w:r>
      <w:r>
        <w:fldChar w:fldCharType="begin"/>
      </w:r>
      <w:r>
        <w:instrText xml:space="preserve"> HYPERLINK "https://baike.so.com/doc/5568745-5783922.html" \t "https://baike.so.com/doc/_blank" </w:instrText>
      </w:r>
      <w:r>
        <w:fldChar w:fldCharType="separate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国家自然科学基金</w:t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评审专家</w:t>
      </w:r>
      <w:r>
        <w:rPr>
          <w:rFonts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BDA72C1">
      <w:pPr>
        <w:spacing w:line="500" w:lineRule="exact"/>
        <w:ind w:firstLine="562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  鹏：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财政部政策实验室宏观经济部主任、经济学博士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中共中央党校干部学习网特约专家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2BA1D38">
      <w:pPr>
        <w:spacing w:line="500" w:lineRule="exact"/>
        <w:ind w:firstLine="562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朱  静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：中央财经大学PPP智库专家，中国政信（政务）研究中心专家，中能国和产业投资发展集团合伙人首席专家。</w:t>
      </w:r>
    </w:p>
    <w:p w14:paraId="70095CF2">
      <w:pPr>
        <w:spacing w:line="500" w:lineRule="exact"/>
        <w:ind w:firstLine="562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吴亚平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国家发展改革委投资研究所体制政策室原主任、投资研究所研究员，兼任中国社科院大学投资经济系教授、博导，中国社情民调百名经济学家，注册咨询工程师(投资),国家开发银行、中国国际工程咨询公司专家委员会专家。长期从事经济和投资形势分析、投融资政策和政府投融资管理研究，参与投融资政策法规研究起草。</w:t>
      </w:r>
    </w:p>
    <w:p w14:paraId="484D150E"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培训时间与地点</w:t>
      </w:r>
    </w:p>
    <w:p w14:paraId="537B2736">
      <w:pPr>
        <w:spacing w:line="54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2024年11月22日—11月25日 海口市 （22日全天报到）</w:t>
      </w:r>
    </w:p>
    <w:p w14:paraId="1B443107">
      <w:pPr>
        <w:spacing w:line="54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2024年12月05日—12月08日 无锡市 （05日全天报到）</w:t>
      </w:r>
    </w:p>
    <w:p w14:paraId="286DEA3A">
      <w:pPr>
        <w:spacing w:line="54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2024年12月13日—12月16日 武汉市 （13日全天报到）</w:t>
      </w:r>
    </w:p>
    <w:p w14:paraId="4ECB3516">
      <w:pPr>
        <w:spacing w:line="54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2024年12月20日—12月23日 成都市 （20日全天报到）</w:t>
      </w:r>
    </w:p>
    <w:p w14:paraId="3F117B6B">
      <w:pPr>
        <w:spacing w:line="540" w:lineRule="exact"/>
        <w:ind w:firstLine="526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w w:val="94"/>
          <w:sz w:val="28"/>
          <w:szCs w:val="28"/>
        </w:rPr>
        <w:t>2025年01月10日—  01月13日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厦门市 （10日全天报到）</w:t>
      </w:r>
    </w:p>
    <w:p w14:paraId="6D114B32">
      <w:pPr>
        <w:spacing w:line="500" w:lineRule="exact"/>
        <w:ind w:firstLine="0" w:firstLineChars="0"/>
        <w:rPr>
          <w:rFonts w:ascii="仿宋" w:hAnsi="仿宋" w:eastAsia="仿宋" w:cs="仿宋"/>
          <w:color w:val="000000"/>
          <w:sz w:val="28"/>
          <w:szCs w:val="28"/>
        </w:rPr>
      </w:pPr>
    </w:p>
    <w:p w14:paraId="0183F4F2">
      <w:pPr>
        <w:spacing w:line="500" w:lineRule="exact"/>
        <w:ind w:firstLine="562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、收费标准</w:t>
      </w:r>
    </w:p>
    <w:p w14:paraId="2329FA9D">
      <w:pPr>
        <w:spacing w:line="500" w:lineRule="exact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A.3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88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0元/人（含培训、资料、电子课件、场地及培训期间午餐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、结业证书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），住宿统一安排，费用自理。</w:t>
      </w:r>
    </w:p>
    <w:p w14:paraId="07653D32">
      <w:pPr>
        <w:spacing w:line="500" w:lineRule="exact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B.5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88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0元/人（含培训、资料、电子课件、场地、证书及培训期间午餐），住宿统一安排，费用自理。培训结束后，经考核合格，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由中国投资协会颁发《投融资规划师》证书，需提供申报表、二寸白底免冠彩色照片、身份证复印件、学历证书复印件等电子版材料。</w:t>
      </w:r>
    </w:p>
    <w:p w14:paraId="4B01A9BE">
      <w:pPr>
        <w:snapToGrid w:val="0"/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C.13880元/人(含培训、中国投资协会的会员证书铜牌【副会长单位价格另议】、资料、电子课件、场地及培训期间午餐、结业证书)；</w:t>
      </w:r>
    </w:p>
    <w:p w14:paraId="5C03A6CF">
      <w:pPr>
        <w:snapToGrid w:val="0"/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D.25000元/单位，同步直播，单位投屏播放，统一观看，不限人数，提供电子课件，支持在线提问；</w:t>
      </w:r>
    </w:p>
    <w:p w14:paraId="468B205C">
      <w:pPr>
        <w:snapToGrid w:val="0"/>
        <w:spacing w:line="500" w:lineRule="exact"/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E.40000元/天，根据实际需求，个性化定制课程内容，委派专家赴政府、国有企业进行内部培训（含课酬、专家与助教交通费、资料费等，培训场地由受训单位提供）。</w:t>
      </w:r>
    </w:p>
    <w:p w14:paraId="65EB36DD">
      <w:pPr>
        <w:snapToGrid w:val="0"/>
        <w:spacing w:line="6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0CD1AE0B">
      <w:pPr>
        <w:numPr>
          <w:ilvl w:val="0"/>
          <w:numId w:val="1"/>
        </w:numPr>
        <w:snapToGrid w:val="0"/>
        <w:spacing w:line="620" w:lineRule="exact"/>
        <w:ind w:firstLine="562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联系方式：</w:t>
      </w:r>
    </w:p>
    <w:p w14:paraId="5D2C1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报名负责人：聂红军 主任18211071700（微信）   </w:t>
      </w:r>
    </w:p>
    <w:p w14:paraId="7B590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电    话：13141289128        邮    箱：zqgphwz@126.com  </w:t>
      </w:r>
    </w:p>
    <w:p w14:paraId="75710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qq咨询：3177524020          网    址：http://www.zqgpchina.cn</w:t>
      </w:r>
    </w:p>
    <w:p w14:paraId="0F7B2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</w:p>
    <w:p w14:paraId="5B080D90">
      <w:pPr>
        <w:snapToGrid w:val="0"/>
        <w:spacing w:line="6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7732DD20">
      <w:pPr>
        <w:snapToGrid w:val="0"/>
        <w:spacing w:line="6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64413F05">
      <w:pPr>
        <w:snapToGrid w:val="0"/>
        <w:spacing w:line="6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13BF9DF6">
      <w:pPr>
        <w:pStyle w:val="5"/>
        <w:shd w:val="clear" w:color="auto" w:fill="FFFFFF"/>
        <w:spacing w:before="0" w:beforeAutospacing="0" w:after="0" w:afterAutospacing="0" w:line="42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E8A4FCE">
      <w:pPr>
        <w:tabs>
          <w:tab w:val="left" w:pos="774"/>
        </w:tabs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3C747F84">
      <w:p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30AA071">
      <w:p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61EEB5F">
      <w:pPr>
        <w:tabs>
          <w:tab w:val="left" w:pos="1614"/>
        </w:tabs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ab/>
      </w:r>
    </w:p>
    <w:p w14:paraId="6C7584E6">
      <w:pPr>
        <w:tabs>
          <w:tab w:val="left" w:pos="1479"/>
        </w:tabs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ab/>
      </w:r>
    </w:p>
    <w:p w14:paraId="1AB2FED0">
      <w:pPr>
        <w:tabs>
          <w:tab w:val="left" w:pos="1479"/>
        </w:tabs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DC86C05">
      <w:pP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附件2：</w:t>
      </w:r>
    </w:p>
    <w:p w14:paraId="79A1070E">
      <w:pPr>
        <w:spacing w:line="480" w:lineRule="exact"/>
        <w:ind w:right="-147" w:rightChars="-70"/>
        <w:jc w:val="center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“12万亿化债新政背景下，2025年地方基础设施项目的筹备与谋划，盘活存量资产，“两重”、“两新”、“三大工程”等国家重点支持项目的实务运作，及片区开发的操作要点高级研修班”</w:t>
      </w:r>
    </w:p>
    <w:p w14:paraId="22A0D059">
      <w:pPr>
        <w:spacing w:line="480" w:lineRule="exact"/>
        <w:ind w:right="-147" w:rightChars="-70"/>
        <w:jc w:val="center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报名回执表</w:t>
      </w:r>
    </w:p>
    <w:tbl>
      <w:tblPr>
        <w:tblStyle w:val="7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 w14:paraId="11B6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75C1B0D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 w14:paraId="53CC8C2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1413FF6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 w14:paraId="1074683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46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21D9DA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 w14:paraId="00123B5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3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6FAD54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 w14:paraId="5067641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7FBF54B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 w14:paraId="325B5ED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BC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24A8EE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 w14:paraId="4C899C8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5B4498B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 w14:paraId="636645C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2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C4CC1C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 w14:paraId="0B96297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137C3CA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 w14:paraId="6F74226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6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9392D0D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 w14:paraId="3FD029D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3" w:type="dxa"/>
            <w:vAlign w:val="center"/>
          </w:tcPr>
          <w:p w14:paraId="059D487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 w14:paraId="79153E0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 w14:paraId="51BFB9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 w14:paraId="43F991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 w14:paraId="002D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B019A9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5A12AE4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4E7F8B5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4083783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05EAA7C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852C57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82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9D8276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4FD004C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3F8A98A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0078933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5157F57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337031D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86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3808BA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34823A3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37BBC0A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3384EF0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55863B6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5A7E876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5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DFCA48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2A785F3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421401E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7A4CA92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54E0343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22B046B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0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C10077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51FFF6F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7AE5B29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5FB6846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2C64790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0EBA241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B1B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5632EB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5736393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73F42C5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238D225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7DFB763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1D5DAD3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C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3BC0466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64C7109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18C4512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5E50942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5338508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567F1EC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0E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D618D6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 w14:paraId="03C8040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59CAAB4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 w14:paraId="22CE478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E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313059D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住宿要求</w:t>
            </w:r>
          </w:p>
        </w:tc>
        <w:tc>
          <w:tcPr>
            <w:tcW w:w="8159" w:type="dxa"/>
            <w:gridSpan w:val="5"/>
            <w:vAlign w:val="center"/>
          </w:tcPr>
          <w:p w14:paraId="5303A83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单住□      合住□     自理□</w:t>
            </w:r>
          </w:p>
        </w:tc>
      </w:tr>
      <w:tr w14:paraId="6219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9714CE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 w14:paraId="56BACA0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《投融资规划师》□</w:t>
            </w:r>
          </w:p>
        </w:tc>
      </w:tr>
      <w:tr w14:paraId="661E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3890C93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 w14:paraId="3C848BD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银行转账□      现场交费□</w:t>
            </w:r>
          </w:p>
        </w:tc>
        <w:tc>
          <w:tcPr>
            <w:tcW w:w="1896" w:type="dxa"/>
            <w:vAlign w:val="center"/>
          </w:tcPr>
          <w:p w14:paraId="156BAEB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 w14:paraId="795134A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B4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678" w:type="dxa"/>
            <w:vAlign w:val="center"/>
          </w:tcPr>
          <w:p w14:paraId="142B1FC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996E1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  <w:vAlign w:val="center"/>
          </w:tcPr>
          <w:p w14:paraId="4074315E">
            <w:pPr>
              <w:tabs>
                <w:tab w:val="left" w:pos="567"/>
                <w:tab w:val="left" w:pos="709"/>
              </w:tabs>
              <w:spacing w:line="300" w:lineRule="exact"/>
              <w:jc w:val="left"/>
              <w:textAlignment w:val="baseline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开户名称： 北京中建科信管理咨询集团有限公司</w:t>
            </w:r>
          </w:p>
          <w:p w14:paraId="44827235">
            <w:pPr>
              <w:tabs>
                <w:tab w:val="left" w:pos="567"/>
                <w:tab w:val="left" w:pos="709"/>
              </w:tabs>
              <w:spacing w:line="300" w:lineRule="exact"/>
              <w:jc w:val="left"/>
              <w:textAlignment w:val="baseline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 户 行： 中国工商银行股份有限公司北京半壁店支行</w:t>
            </w:r>
          </w:p>
          <w:p w14:paraId="0929EEC4">
            <w:pPr>
              <w:tabs>
                <w:tab w:val="left" w:pos="567"/>
                <w:tab w:val="left" w:pos="709"/>
              </w:tabs>
              <w:spacing w:line="300" w:lineRule="exact"/>
              <w:jc w:val="lef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    号： 0200247009200068235</w:t>
            </w:r>
          </w:p>
        </w:tc>
      </w:tr>
      <w:tr w14:paraId="012CB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678" w:type="dxa"/>
            <w:vAlign w:val="center"/>
          </w:tcPr>
          <w:p w14:paraId="6BDBAB9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 w14:paraId="6EBBCD2C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0" w:type="dxa"/>
            <w:gridSpan w:val="2"/>
            <w:vAlign w:val="center"/>
          </w:tcPr>
          <w:p w14:paraId="4AC6F477"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1215F90D">
            <w:pPr>
              <w:pStyle w:val="6"/>
              <w:ind w:left="480" w:firstLine="480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EF8D3BB">
            <w:pPr>
              <w:tabs>
                <w:tab w:val="left" w:pos="567"/>
                <w:tab w:val="left" w:pos="709"/>
              </w:tabs>
              <w:spacing w:line="300" w:lineRule="exact"/>
              <w:ind w:firstLine="2240" w:firstLineChars="8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3CB35FFF">
      <w:pPr>
        <w:spacing w:line="440" w:lineRule="exact"/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 xml:space="preserve">报名负责人：聂红军 主任18211071700（微信）   </w:t>
      </w:r>
    </w:p>
    <w:p w14:paraId="4933C580">
      <w:pPr>
        <w:spacing w:line="440" w:lineRule="exact"/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 xml:space="preserve">电    话：13141289128        邮    箱：zqgphwz@126.com  </w:t>
      </w:r>
    </w:p>
    <w:p w14:paraId="6B391AA8">
      <w:pPr>
        <w:spacing w:line="440" w:lineRule="exact"/>
        <w:rPr>
          <w:rStyle w:val="9"/>
          <w:rFonts w:hint="eastAsia" w:ascii="仿宋" w:hAnsi="仿宋" w:eastAsia="仿宋" w:cs="仿宋"/>
          <w:color w:val="000000" w:themeColor="text1"/>
          <w:spacing w:val="8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qq咨询：3177524020          网    址：http://www.zqgpchina.cn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B28053"/>
    <w:multiLevelType w:val="singleLevel"/>
    <w:tmpl w:val="CBB2805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yMWM5NTU3NmQwMzYzZGY2NjUyMjZkNDUzMDVhNDkifQ=="/>
  </w:docVars>
  <w:rsids>
    <w:rsidRoot w:val="00D51FAA"/>
    <w:rsid w:val="00000508"/>
    <w:rsid w:val="00037700"/>
    <w:rsid w:val="00084460"/>
    <w:rsid w:val="000A17E5"/>
    <w:rsid w:val="000A4852"/>
    <w:rsid w:val="000A5A9D"/>
    <w:rsid w:val="000D6B55"/>
    <w:rsid w:val="000E1574"/>
    <w:rsid w:val="000E204B"/>
    <w:rsid w:val="001234DF"/>
    <w:rsid w:val="001815E2"/>
    <w:rsid w:val="001A64D3"/>
    <w:rsid w:val="001E6722"/>
    <w:rsid w:val="002202BE"/>
    <w:rsid w:val="00231F16"/>
    <w:rsid w:val="0025634D"/>
    <w:rsid w:val="00263FBD"/>
    <w:rsid w:val="00266CDF"/>
    <w:rsid w:val="00272A46"/>
    <w:rsid w:val="002749C9"/>
    <w:rsid w:val="0027718C"/>
    <w:rsid w:val="00292E6A"/>
    <w:rsid w:val="002D0407"/>
    <w:rsid w:val="002D3499"/>
    <w:rsid w:val="003144E6"/>
    <w:rsid w:val="00327A7D"/>
    <w:rsid w:val="00342E6E"/>
    <w:rsid w:val="0038106F"/>
    <w:rsid w:val="003C409A"/>
    <w:rsid w:val="003F099E"/>
    <w:rsid w:val="00406D20"/>
    <w:rsid w:val="00412275"/>
    <w:rsid w:val="0044681F"/>
    <w:rsid w:val="00447DB3"/>
    <w:rsid w:val="00455750"/>
    <w:rsid w:val="00464B66"/>
    <w:rsid w:val="00480F5F"/>
    <w:rsid w:val="004A6EFA"/>
    <w:rsid w:val="004C036A"/>
    <w:rsid w:val="004F014E"/>
    <w:rsid w:val="005A569B"/>
    <w:rsid w:val="005C4CD4"/>
    <w:rsid w:val="005F0B6F"/>
    <w:rsid w:val="00615433"/>
    <w:rsid w:val="00624B79"/>
    <w:rsid w:val="00650467"/>
    <w:rsid w:val="00650EEF"/>
    <w:rsid w:val="006557C2"/>
    <w:rsid w:val="006672EF"/>
    <w:rsid w:val="00671A31"/>
    <w:rsid w:val="0067446E"/>
    <w:rsid w:val="00682707"/>
    <w:rsid w:val="006836BA"/>
    <w:rsid w:val="00693CB1"/>
    <w:rsid w:val="006A2ADA"/>
    <w:rsid w:val="006C5089"/>
    <w:rsid w:val="006D402B"/>
    <w:rsid w:val="0070729C"/>
    <w:rsid w:val="0074601B"/>
    <w:rsid w:val="007554FC"/>
    <w:rsid w:val="00770C10"/>
    <w:rsid w:val="00772C12"/>
    <w:rsid w:val="007D1096"/>
    <w:rsid w:val="0082209D"/>
    <w:rsid w:val="00830220"/>
    <w:rsid w:val="008404E0"/>
    <w:rsid w:val="008753AE"/>
    <w:rsid w:val="008F516C"/>
    <w:rsid w:val="00947FFC"/>
    <w:rsid w:val="00966889"/>
    <w:rsid w:val="009C4CB6"/>
    <w:rsid w:val="00A244AC"/>
    <w:rsid w:val="00B05DFF"/>
    <w:rsid w:val="00B55E7C"/>
    <w:rsid w:val="00BB2B72"/>
    <w:rsid w:val="00BC3588"/>
    <w:rsid w:val="00C54CDA"/>
    <w:rsid w:val="00C918E2"/>
    <w:rsid w:val="00CC6EA9"/>
    <w:rsid w:val="00CE06C5"/>
    <w:rsid w:val="00D14AE9"/>
    <w:rsid w:val="00D51FAA"/>
    <w:rsid w:val="00D613DB"/>
    <w:rsid w:val="00D948A5"/>
    <w:rsid w:val="00DA6AE7"/>
    <w:rsid w:val="00DC72ED"/>
    <w:rsid w:val="00DF08E3"/>
    <w:rsid w:val="00E53EF0"/>
    <w:rsid w:val="00E826A8"/>
    <w:rsid w:val="00E86FBD"/>
    <w:rsid w:val="00E922E5"/>
    <w:rsid w:val="00EC12C0"/>
    <w:rsid w:val="00EE50FD"/>
    <w:rsid w:val="00F707DD"/>
    <w:rsid w:val="00F814AB"/>
    <w:rsid w:val="00F828B6"/>
    <w:rsid w:val="00FA1C1A"/>
    <w:rsid w:val="00FA1D2A"/>
    <w:rsid w:val="00FA338C"/>
    <w:rsid w:val="00FB33B5"/>
    <w:rsid w:val="00FB5E44"/>
    <w:rsid w:val="01EF20C6"/>
    <w:rsid w:val="02C866AB"/>
    <w:rsid w:val="02DF39F5"/>
    <w:rsid w:val="033B50CF"/>
    <w:rsid w:val="034B42C3"/>
    <w:rsid w:val="04812FB5"/>
    <w:rsid w:val="0490144A"/>
    <w:rsid w:val="06252E77"/>
    <w:rsid w:val="06D7510F"/>
    <w:rsid w:val="07034156"/>
    <w:rsid w:val="07302A71"/>
    <w:rsid w:val="07943000"/>
    <w:rsid w:val="09D73678"/>
    <w:rsid w:val="0A1D552E"/>
    <w:rsid w:val="0A3E36F7"/>
    <w:rsid w:val="0A967156"/>
    <w:rsid w:val="0AD007F3"/>
    <w:rsid w:val="0B106E41"/>
    <w:rsid w:val="0BC1638D"/>
    <w:rsid w:val="0BCB0FBA"/>
    <w:rsid w:val="0BFC73C5"/>
    <w:rsid w:val="0C1C1816"/>
    <w:rsid w:val="0CA5180B"/>
    <w:rsid w:val="0D441024"/>
    <w:rsid w:val="0D815DD4"/>
    <w:rsid w:val="0DB241E0"/>
    <w:rsid w:val="0E3C32D3"/>
    <w:rsid w:val="0F7756E1"/>
    <w:rsid w:val="0F783207"/>
    <w:rsid w:val="10725EA8"/>
    <w:rsid w:val="111B02EE"/>
    <w:rsid w:val="11673533"/>
    <w:rsid w:val="14AD738E"/>
    <w:rsid w:val="15015A4D"/>
    <w:rsid w:val="15773C83"/>
    <w:rsid w:val="164125A5"/>
    <w:rsid w:val="1686445B"/>
    <w:rsid w:val="169E79F7"/>
    <w:rsid w:val="16E4489F"/>
    <w:rsid w:val="17936E30"/>
    <w:rsid w:val="18041ADC"/>
    <w:rsid w:val="18100480"/>
    <w:rsid w:val="189F1804"/>
    <w:rsid w:val="18F97167"/>
    <w:rsid w:val="190D3CAF"/>
    <w:rsid w:val="194A79C2"/>
    <w:rsid w:val="19B65058"/>
    <w:rsid w:val="1A13413C"/>
    <w:rsid w:val="1A27306A"/>
    <w:rsid w:val="1B23671D"/>
    <w:rsid w:val="1D1C1676"/>
    <w:rsid w:val="1F0C571A"/>
    <w:rsid w:val="1F7D3C3E"/>
    <w:rsid w:val="201E5705"/>
    <w:rsid w:val="20996A84"/>
    <w:rsid w:val="20E406FC"/>
    <w:rsid w:val="21470C8B"/>
    <w:rsid w:val="21584C46"/>
    <w:rsid w:val="22162B37"/>
    <w:rsid w:val="225418B2"/>
    <w:rsid w:val="22C5630B"/>
    <w:rsid w:val="22DB5B2F"/>
    <w:rsid w:val="23A83C63"/>
    <w:rsid w:val="23B56380"/>
    <w:rsid w:val="24172B97"/>
    <w:rsid w:val="243E6375"/>
    <w:rsid w:val="24457704"/>
    <w:rsid w:val="25453733"/>
    <w:rsid w:val="25916E66"/>
    <w:rsid w:val="26D134D1"/>
    <w:rsid w:val="27322CEB"/>
    <w:rsid w:val="28347296"/>
    <w:rsid w:val="286345FC"/>
    <w:rsid w:val="28F8538E"/>
    <w:rsid w:val="290C6A42"/>
    <w:rsid w:val="29114058"/>
    <w:rsid w:val="294F2DD3"/>
    <w:rsid w:val="29EE2863"/>
    <w:rsid w:val="2A3F4BF5"/>
    <w:rsid w:val="2B7C67AE"/>
    <w:rsid w:val="2BA2543C"/>
    <w:rsid w:val="2BF85682"/>
    <w:rsid w:val="2CFC6DCE"/>
    <w:rsid w:val="2E020414"/>
    <w:rsid w:val="30450A8C"/>
    <w:rsid w:val="3087555D"/>
    <w:rsid w:val="309C68FD"/>
    <w:rsid w:val="313C2EDD"/>
    <w:rsid w:val="317E4255"/>
    <w:rsid w:val="32851613"/>
    <w:rsid w:val="32902492"/>
    <w:rsid w:val="32A777DC"/>
    <w:rsid w:val="3333106F"/>
    <w:rsid w:val="34D50630"/>
    <w:rsid w:val="35544EB1"/>
    <w:rsid w:val="35EF5721"/>
    <w:rsid w:val="37465815"/>
    <w:rsid w:val="377F2AD5"/>
    <w:rsid w:val="37A97B52"/>
    <w:rsid w:val="37E312B6"/>
    <w:rsid w:val="380F16DC"/>
    <w:rsid w:val="38997BC6"/>
    <w:rsid w:val="3A4D1D60"/>
    <w:rsid w:val="3A9C399E"/>
    <w:rsid w:val="3AC84793"/>
    <w:rsid w:val="3B007A89"/>
    <w:rsid w:val="3B0752BB"/>
    <w:rsid w:val="3B11613A"/>
    <w:rsid w:val="3B117EE8"/>
    <w:rsid w:val="3C97266F"/>
    <w:rsid w:val="3CDC4526"/>
    <w:rsid w:val="3DDC2A2F"/>
    <w:rsid w:val="3DFC4E7F"/>
    <w:rsid w:val="3F7B0026"/>
    <w:rsid w:val="3FE23E26"/>
    <w:rsid w:val="41196D42"/>
    <w:rsid w:val="419C7DEA"/>
    <w:rsid w:val="41A01FC6"/>
    <w:rsid w:val="42237912"/>
    <w:rsid w:val="4286357D"/>
    <w:rsid w:val="42FC76D0"/>
    <w:rsid w:val="43CC70A2"/>
    <w:rsid w:val="43E73EDC"/>
    <w:rsid w:val="4404683C"/>
    <w:rsid w:val="44BA339E"/>
    <w:rsid w:val="44C8242D"/>
    <w:rsid w:val="4531037F"/>
    <w:rsid w:val="459B4F7E"/>
    <w:rsid w:val="459C0CF6"/>
    <w:rsid w:val="45A94AFE"/>
    <w:rsid w:val="45B65486"/>
    <w:rsid w:val="45CD7101"/>
    <w:rsid w:val="46192347"/>
    <w:rsid w:val="46244F73"/>
    <w:rsid w:val="4781076D"/>
    <w:rsid w:val="480212E4"/>
    <w:rsid w:val="48C12F4D"/>
    <w:rsid w:val="4A387D41"/>
    <w:rsid w:val="4AB8212E"/>
    <w:rsid w:val="4B1D6435"/>
    <w:rsid w:val="4B814C16"/>
    <w:rsid w:val="4BC114B6"/>
    <w:rsid w:val="4C5B5467"/>
    <w:rsid w:val="4D5519C8"/>
    <w:rsid w:val="4D933821"/>
    <w:rsid w:val="4F052825"/>
    <w:rsid w:val="4F95546D"/>
    <w:rsid w:val="5004187B"/>
    <w:rsid w:val="501778F7"/>
    <w:rsid w:val="50414974"/>
    <w:rsid w:val="519D207E"/>
    <w:rsid w:val="53590226"/>
    <w:rsid w:val="53803A05"/>
    <w:rsid w:val="538C23AA"/>
    <w:rsid w:val="53CB2ED2"/>
    <w:rsid w:val="53F51CFD"/>
    <w:rsid w:val="545306B4"/>
    <w:rsid w:val="55F07A61"/>
    <w:rsid w:val="55FC102D"/>
    <w:rsid w:val="55FF9B2E"/>
    <w:rsid w:val="563A5319"/>
    <w:rsid w:val="56680EAC"/>
    <w:rsid w:val="56890E23"/>
    <w:rsid w:val="568E6439"/>
    <w:rsid w:val="5773C710"/>
    <w:rsid w:val="57E26A3C"/>
    <w:rsid w:val="590F3861"/>
    <w:rsid w:val="5963656D"/>
    <w:rsid w:val="5A985301"/>
    <w:rsid w:val="5C133668"/>
    <w:rsid w:val="5C89392A"/>
    <w:rsid w:val="5CAA0600"/>
    <w:rsid w:val="5CCF2C88"/>
    <w:rsid w:val="5DCA41FA"/>
    <w:rsid w:val="5E8F31A2"/>
    <w:rsid w:val="5F17C656"/>
    <w:rsid w:val="5F742670"/>
    <w:rsid w:val="5FBA6029"/>
    <w:rsid w:val="60883C70"/>
    <w:rsid w:val="61131A15"/>
    <w:rsid w:val="61DF3FED"/>
    <w:rsid w:val="629B6165"/>
    <w:rsid w:val="62F53AC8"/>
    <w:rsid w:val="63C72C14"/>
    <w:rsid w:val="6603474E"/>
    <w:rsid w:val="66682803"/>
    <w:rsid w:val="697274F4"/>
    <w:rsid w:val="6A333127"/>
    <w:rsid w:val="6A6E7CFF"/>
    <w:rsid w:val="6AB9187F"/>
    <w:rsid w:val="6B4A697B"/>
    <w:rsid w:val="6B5E13C7"/>
    <w:rsid w:val="6C88775B"/>
    <w:rsid w:val="6CD67880"/>
    <w:rsid w:val="6D0B2E97"/>
    <w:rsid w:val="6D3B2A1F"/>
    <w:rsid w:val="6DC02F24"/>
    <w:rsid w:val="6E533D98"/>
    <w:rsid w:val="6E677844"/>
    <w:rsid w:val="6ED99B81"/>
    <w:rsid w:val="6FAAA0DD"/>
    <w:rsid w:val="704240C4"/>
    <w:rsid w:val="7137174F"/>
    <w:rsid w:val="719B1CDE"/>
    <w:rsid w:val="72086956"/>
    <w:rsid w:val="722C6DDA"/>
    <w:rsid w:val="72DC5162"/>
    <w:rsid w:val="72DF209E"/>
    <w:rsid w:val="730B4C41"/>
    <w:rsid w:val="73706D62"/>
    <w:rsid w:val="73BF22DB"/>
    <w:rsid w:val="73CA4470"/>
    <w:rsid w:val="7420471D"/>
    <w:rsid w:val="759E7FEF"/>
    <w:rsid w:val="75FC2F67"/>
    <w:rsid w:val="769A6A08"/>
    <w:rsid w:val="77161E07"/>
    <w:rsid w:val="77E837A3"/>
    <w:rsid w:val="78771BB8"/>
    <w:rsid w:val="788B5230"/>
    <w:rsid w:val="78C37D6C"/>
    <w:rsid w:val="79E22D53"/>
    <w:rsid w:val="79EFE92F"/>
    <w:rsid w:val="7A794B87"/>
    <w:rsid w:val="7ABB519F"/>
    <w:rsid w:val="7B534407"/>
    <w:rsid w:val="7BF3D07E"/>
    <w:rsid w:val="7C1E59E5"/>
    <w:rsid w:val="7C991510"/>
    <w:rsid w:val="7CB400F8"/>
    <w:rsid w:val="7CD3D88D"/>
    <w:rsid w:val="7D1E1A15"/>
    <w:rsid w:val="7D7A4967"/>
    <w:rsid w:val="7DAB14FB"/>
    <w:rsid w:val="7DD1292C"/>
    <w:rsid w:val="7DDEE21D"/>
    <w:rsid w:val="7F840255"/>
    <w:rsid w:val="7FF34603"/>
    <w:rsid w:val="7FFD6EDF"/>
    <w:rsid w:val="9E0EAE04"/>
    <w:rsid w:val="B3DFA468"/>
    <w:rsid w:val="BFFF538A"/>
    <w:rsid w:val="CCF6F1B0"/>
    <w:rsid w:val="DFBB5A45"/>
    <w:rsid w:val="E69ECEE0"/>
    <w:rsid w:val="EEEB136F"/>
    <w:rsid w:val="FDFF39C8"/>
    <w:rsid w:val="FEF75950"/>
    <w:rsid w:val="FFBC8DD8"/>
    <w:rsid w:val="FFFB9CBF"/>
    <w:rsid w:val="FFFCE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next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2"/>
    <w:next w:val="1"/>
    <w:link w:val="15"/>
    <w:qFormat/>
    <w:uiPriority w:val="99"/>
    <w:pPr>
      <w:tabs>
        <w:tab w:val="left" w:pos="-1440"/>
      </w:tabs>
      <w:autoSpaceDE w:val="0"/>
      <w:autoSpaceDN w:val="0"/>
      <w:adjustRightInd w:val="0"/>
      <w:spacing w:after="0" w:line="360" w:lineRule="auto"/>
      <w:ind w:left="176" w:leftChars="0" w:firstLine="420" w:firstLineChars="200"/>
      <w:jc w:val="left"/>
    </w:pPr>
    <w:rPr>
      <w:rFonts w:hint="eastAsia" w:ascii="仿宋" w:hAnsi="Times New Roman" w:eastAsia="仿宋" w:cs="Times New Roman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正文文本缩进 Char"/>
    <w:basedOn w:val="8"/>
    <w:link w:val="2"/>
    <w:semiHidden/>
    <w:qFormat/>
    <w:uiPriority w:val="99"/>
  </w:style>
  <w:style w:type="character" w:customStyle="1" w:styleId="13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5">
    <w:name w:val="正文首行缩进 2 Char"/>
    <w:basedOn w:val="12"/>
    <w:link w:val="6"/>
    <w:qFormat/>
    <w:uiPriority w:val="99"/>
    <w:rPr>
      <w:rFonts w:ascii="仿宋" w:hAnsi="Times New Roman" w:eastAsia="仿宋" w:cs="Times New Roman"/>
      <w:sz w:val="24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2824</Words>
  <Characters>3089</Characters>
  <Lines>38</Lines>
  <Paragraphs>10</Paragraphs>
  <TotalTime>1</TotalTime>
  <ScaleCrop>false</ScaleCrop>
  <LinksUpToDate>false</LinksUpToDate>
  <CharactersWithSpaces>3209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2024-01-11T18:35:00Z</dcterms:created>
  <dc:creator>Lenovo</dc:creator>
  <cp:lastModifiedBy>聂红军</cp:lastModifiedBy>
  <cp:lastPrinted>2023-05-08T18:47:00Z</cp:lastPrinted>
  <dcterms:modified xsi:type="dcterms:W3CDTF">2024-11-18T00:23:06Z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4E48D306424C47A6B72C895713C31A45_13</vt:lpwstr>
  </property>
</Properties>
</file>