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857B79">
      <w:pPr>
        <w:spacing w:line="240" w:lineRule="auto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-958215</wp:posOffset>
            </wp:positionV>
            <wp:extent cx="7715885" cy="10832465"/>
            <wp:effectExtent l="0" t="0" r="18415" b="6985"/>
            <wp:wrapNone/>
            <wp:docPr id="1" name="图片 1" descr="十五五规划编制与2025重大项目谋划培训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十五五规划编制与2025重大项目谋划培训通知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5885" cy="108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D9115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9A4A81C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B64222E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4BBAE5B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C697B92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B474186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06DB35F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1E77FF0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8FF584E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7A71BA1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6CEA90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54AF7BA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061F8E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DF4EA91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B83C985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388D712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4181DAE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18DC78E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02D839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3A09AF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AD5C8B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30648A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ED4AC93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E3E8ECB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5FA8AD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4791113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43BDB64">
      <w:pPr>
        <w:spacing w:line="240" w:lineRule="auto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-948055</wp:posOffset>
            </wp:positionV>
            <wp:extent cx="7658735" cy="10784205"/>
            <wp:effectExtent l="0" t="0" r="18415" b="17145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78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EA628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8A169B8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4571B02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F4AE19C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AC0DFA1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1E217A1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8D59AB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D2EAE8D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D698F5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FFB93A7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64B83AE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0CDEDE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8E48DA8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3063ABD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F9E9826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FF38929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6B2F703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2FE279F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3D97491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1A490AC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32684CF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E7289FB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81C19F4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466498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5AFDFED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C2520CB">
      <w:pPr>
        <w:spacing w:line="500" w:lineRule="exact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31E0ED">
      <w:pPr>
        <w:spacing w:line="500" w:lineRule="exact"/>
        <w:jc w:val="lef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附件1：</w:t>
      </w:r>
    </w:p>
    <w:p w14:paraId="18690034">
      <w:pPr>
        <w:spacing w:line="500" w:lineRule="exact"/>
        <w:jc w:val="center"/>
        <w:rPr>
          <w:rFonts w:ascii="仿宋" w:hAnsi="仿宋" w:eastAsia="仿宋" w:cs="仿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培训说明</w:t>
      </w:r>
    </w:p>
    <w:p w14:paraId="08297316">
      <w:pPr>
        <w:spacing w:line="500" w:lineRule="exact"/>
        <w:ind w:left="560"/>
        <w:jc w:val="lef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一、培训内容</w:t>
      </w:r>
    </w:p>
    <w:p w14:paraId="3BFBA09A">
      <w:pPr>
        <w:spacing w:line="500" w:lineRule="exact"/>
        <w:ind w:firstLine="562" w:firstLineChars="200"/>
        <w:rPr>
          <w:rFonts w:ascii="仿宋" w:hAnsi="仿宋" w:eastAsia="仿宋" w:cs="仿宋"/>
          <w:b/>
          <w:bCs/>
          <w:spacing w:val="8"/>
          <w:sz w:val="28"/>
          <w:szCs w:val="28"/>
        </w:rPr>
      </w:pPr>
      <w:r>
        <w:rPr>
          <w:rFonts w:ascii="仿宋" w:hAnsi="仿宋" w:eastAsia="仿宋" w:cs="仿宋"/>
          <w:b/>
          <w:bCs/>
          <w:sz w:val="28"/>
          <w:szCs w:val="28"/>
        </w:rPr>
        <w:t>（一）</w:t>
      </w:r>
      <w:r>
        <w:rPr>
          <w:rFonts w:ascii="仿宋" w:hAnsi="仿宋" w:eastAsia="仿宋" w:cs="仿宋"/>
          <w:b/>
          <w:bCs/>
          <w:spacing w:val="8"/>
          <w:sz w:val="28"/>
          <w:szCs w:val="28"/>
        </w:rPr>
        <w:t>最新国家财政、金融和投融资政策的解读</w:t>
      </w:r>
    </w:p>
    <w:p w14:paraId="0A196B4B">
      <w:pPr>
        <w:spacing w:line="500" w:lineRule="exact"/>
        <w:ind w:firstLine="560" w:firstLineChars="200"/>
        <w:rPr>
          <w:rFonts w:hint="default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1.最新中央12万亿化债政策的解读和项目投融资总体谋划策略；</w:t>
      </w:r>
    </w:p>
    <w:p w14:paraId="510AC148">
      <w:pPr>
        <w:spacing w:line="500" w:lineRule="exact"/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8"/>
          <w:szCs w:val="28"/>
        </w:rPr>
        <w:t>.</w:t>
      </w:r>
      <w:r>
        <w:rPr>
          <w:rFonts w:ascii="仿宋" w:hAnsi="仿宋" w:eastAsia="仿宋" w:cs="仿宋"/>
          <w:bCs/>
          <w:sz w:val="28"/>
          <w:szCs w:val="28"/>
        </w:rPr>
        <w:t>二十届三中全会投融资体制改革要点</w:t>
      </w:r>
      <w:r>
        <w:rPr>
          <w:rFonts w:hint="eastAsia" w:ascii="仿宋" w:hAnsi="仿宋" w:eastAsia="仿宋" w:cs="仿宋"/>
          <w:bCs/>
          <w:sz w:val="28"/>
          <w:szCs w:val="28"/>
        </w:rPr>
        <w:t>及</w:t>
      </w:r>
      <w:r>
        <w:rPr>
          <w:rFonts w:ascii="仿宋" w:hAnsi="仿宋" w:eastAsia="仿宋" w:cs="仿宋"/>
          <w:bCs/>
          <w:sz w:val="28"/>
          <w:szCs w:val="28"/>
        </w:rPr>
        <w:t>财政体制改革对项目融资的影响</w:t>
      </w:r>
      <w:r>
        <w:rPr>
          <w:rFonts w:hint="eastAsia" w:ascii="仿宋" w:hAnsi="仿宋" w:eastAsia="仿宋" w:cs="仿宋"/>
          <w:bCs/>
          <w:sz w:val="28"/>
          <w:szCs w:val="28"/>
        </w:rPr>
        <w:t>；</w:t>
      </w:r>
    </w:p>
    <w:p w14:paraId="716C2E66">
      <w:pPr>
        <w:spacing w:line="500" w:lineRule="exact"/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3</w:t>
      </w:r>
      <w:r>
        <w:rPr>
          <w:rFonts w:ascii="仿宋" w:hAnsi="仿宋" w:eastAsia="仿宋" w:cs="仿宋"/>
          <w:bCs/>
          <w:sz w:val="28"/>
          <w:szCs w:val="28"/>
        </w:rPr>
        <w:t>.我国当前经济形势、中央最新会议精神和财政金融政策对政府投融资的影响分析；</w:t>
      </w:r>
    </w:p>
    <w:p w14:paraId="65A05B8B">
      <w:pPr>
        <w:spacing w:line="500" w:lineRule="exact"/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4</w:t>
      </w:r>
      <w:r>
        <w:rPr>
          <w:rFonts w:ascii="仿宋" w:hAnsi="仿宋" w:eastAsia="仿宋" w:cs="仿宋"/>
          <w:bCs/>
          <w:sz w:val="28"/>
          <w:szCs w:val="28"/>
        </w:rPr>
        <w:t>.从基础设施相关领域政策（如PPP新机制、基础设施REITs、专项债、超长期特别国债等），看未来政府投融资的重点方向和区域；</w:t>
      </w:r>
    </w:p>
    <w:p w14:paraId="61C7BF14">
      <w:pPr>
        <w:spacing w:line="500" w:lineRule="exact"/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5</w:t>
      </w:r>
      <w:r>
        <w:rPr>
          <w:rFonts w:ascii="仿宋" w:hAnsi="仿宋" w:eastAsia="仿宋" w:cs="仿宋"/>
          <w:bCs/>
          <w:sz w:val="28"/>
          <w:szCs w:val="28"/>
        </w:rPr>
        <w:t>.重点政府投融资政策的详解，如《政府投资条例》，财预50号文，国办发19号文，国办发35号文、47号文和134号文，国办函115号文，财资108号文</w:t>
      </w:r>
      <w:r>
        <w:rPr>
          <w:rFonts w:hint="eastAsia" w:ascii="仿宋" w:hAnsi="仿宋" w:eastAsia="仿宋" w:cs="仿宋"/>
          <w:bCs/>
          <w:sz w:val="28"/>
          <w:szCs w:val="28"/>
        </w:rPr>
        <w:t>及四部委150号文</w:t>
      </w:r>
      <w:r>
        <w:rPr>
          <w:rFonts w:ascii="仿宋" w:hAnsi="仿宋" w:eastAsia="仿宋" w:cs="仿宋"/>
          <w:bCs/>
          <w:sz w:val="28"/>
          <w:szCs w:val="28"/>
        </w:rPr>
        <w:t>等政策；</w:t>
      </w:r>
    </w:p>
    <w:p w14:paraId="0209D631">
      <w:pPr>
        <w:spacing w:line="500" w:lineRule="exact"/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6</w:t>
      </w:r>
      <w:r>
        <w:rPr>
          <w:rFonts w:ascii="仿宋" w:hAnsi="仿宋" w:eastAsia="仿宋" w:cs="仿宋"/>
          <w:bCs/>
          <w:sz w:val="28"/>
          <w:szCs w:val="28"/>
        </w:rPr>
        <w:t>.审计署最新工作报告、财政部最新债务报告等对地方政府投融资的影响和审计案例分析</w:t>
      </w:r>
      <w:r>
        <w:rPr>
          <w:rFonts w:hint="eastAsia" w:ascii="仿宋" w:hAnsi="仿宋" w:eastAsia="仿宋" w:cs="仿宋"/>
          <w:bCs/>
          <w:sz w:val="28"/>
          <w:szCs w:val="28"/>
        </w:rPr>
        <w:t>；</w:t>
      </w:r>
    </w:p>
    <w:p w14:paraId="1F3AAADA">
      <w:pPr>
        <w:spacing w:line="500" w:lineRule="exact"/>
        <w:ind w:firstLine="560" w:firstLineChars="200"/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bCs/>
          <w:sz w:val="28"/>
          <w:szCs w:val="28"/>
        </w:rPr>
        <w:t>.财政部最新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通报八起地方政府隐性债务问责典型案例解析。</w:t>
      </w:r>
    </w:p>
    <w:p w14:paraId="2CE9C102">
      <w:pPr>
        <w:spacing w:line="500" w:lineRule="exact"/>
        <w:ind w:firstLine="594" w:firstLineChars="200"/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spacing w:val="8"/>
          <w:sz w:val="28"/>
          <w:szCs w:val="28"/>
        </w:rPr>
        <w:t>（二）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“十五五”宏观形势分析与预测</w:t>
      </w:r>
    </w:p>
    <w:p w14:paraId="434BF3E8">
      <w:pPr>
        <w:spacing w:line="500" w:lineRule="exact"/>
        <w:ind w:firstLine="592" w:firstLineChars="200"/>
        <w:rPr>
          <w:rFonts w:ascii="仿宋" w:hAnsi="仿宋" w:eastAsia="仿宋" w:cs="仿宋"/>
          <w:spacing w:val="8"/>
          <w:sz w:val="28"/>
          <w:szCs w:val="28"/>
        </w:rPr>
      </w:pPr>
      <w:r>
        <w:rPr>
          <w:rFonts w:ascii="仿宋" w:hAnsi="仿宋" w:eastAsia="仿宋" w:cs="仿宋"/>
          <w:spacing w:val="8"/>
          <w:sz w:val="28"/>
          <w:szCs w:val="28"/>
        </w:rPr>
        <w:t>1.</w:t>
      </w:r>
      <w:r>
        <w:rPr>
          <w:rFonts w:hint="eastAsia" w:ascii="仿宋" w:hAnsi="仿宋" w:eastAsia="仿宋" w:cs="仿宋"/>
          <w:spacing w:val="8"/>
          <w:sz w:val="28"/>
          <w:szCs w:val="28"/>
        </w:rPr>
        <w:t>宏观形势分析</w:t>
      </w:r>
      <w:r>
        <w:rPr>
          <w:rFonts w:hint="eastAsia" w:ascii="仿宋" w:hAnsi="仿宋" w:eastAsia="仿宋" w:cs="仿宋"/>
          <w:spacing w:val="8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spacing w:val="8"/>
          <w:sz w:val="28"/>
          <w:szCs w:val="28"/>
        </w:rPr>
        <w:t>预测</w:t>
      </w:r>
      <w:r>
        <w:rPr>
          <w:rFonts w:ascii="仿宋" w:hAnsi="仿宋" w:eastAsia="仿宋" w:cs="仿宋"/>
          <w:spacing w:val="8"/>
          <w:sz w:val="28"/>
          <w:szCs w:val="28"/>
        </w:rPr>
        <w:t>；</w:t>
      </w:r>
    </w:p>
    <w:p w14:paraId="03F4966C">
      <w:pPr>
        <w:spacing w:line="500" w:lineRule="exact"/>
        <w:ind w:firstLine="592" w:firstLineChars="200"/>
        <w:rPr>
          <w:rFonts w:ascii="仿宋" w:hAnsi="仿宋" w:eastAsia="仿宋" w:cs="仿宋"/>
          <w:spacing w:val="8"/>
          <w:sz w:val="28"/>
          <w:szCs w:val="28"/>
        </w:rPr>
      </w:pPr>
      <w:r>
        <w:rPr>
          <w:rFonts w:ascii="仿宋" w:hAnsi="仿宋" w:eastAsia="仿宋" w:cs="仿宋"/>
          <w:spacing w:val="8"/>
          <w:sz w:val="28"/>
          <w:szCs w:val="28"/>
        </w:rPr>
        <w:t>2.</w:t>
      </w:r>
      <w:r>
        <w:rPr>
          <w:rFonts w:hint="eastAsia" w:ascii="仿宋" w:hAnsi="仿宋" w:eastAsia="仿宋" w:cs="仿宋"/>
          <w:spacing w:val="8"/>
          <w:sz w:val="28"/>
          <w:szCs w:val="28"/>
        </w:rPr>
        <w:t>“十五五”期间国家重点扶持行业及发展方向介绍</w:t>
      </w:r>
      <w:r>
        <w:rPr>
          <w:rFonts w:ascii="仿宋" w:hAnsi="仿宋" w:eastAsia="仿宋" w:cs="仿宋"/>
          <w:spacing w:val="8"/>
          <w:sz w:val="28"/>
          <w:szCs w:val="28"/>
        </w:rPr>
        <w:t>；</w:t>
      </w:r>
    </w:p>
    <w:p w14:paraId="6084CB23">
      <w:pPr>
        <w:spacing w:line="500" w:lineRule="exact"/>
        <w:ind w:firstLine="592" w:firstLineChars="200"/>
        <w:rPr>
          <w:rFonts w:ascii="仿宋" w:hAnsi="仿宋" w:eastAsia="仿宋" w:cs="仿宋"/>
          <w:spacing w:val="8"/>
          <w:sz w:val="28"/>
          <w:szCs w:val="28"/>
        </w:rPr>
      </w:pPr>
      <w:r>
        <w:rPr>
          <w:rFonts w:ascii="仿宋" w:hAnsi="仿宋" w:eastAsia="仿宋" w:cs="仿宋"/>
          <w:spacing w:val="8"/>
          <w:sz w:val="28"/>
          <w:szCs w:val="28"/>
        </w:rPr>
        <w:t>3.</w:t>
      </w:r>
      <w:r>
        <w:rPr>
          <w:rFonts w:hint="eastAsia" w:ascii="仿宋" w:hAnsi="仿宋" w:eastAsia="仿宋" w:cs="仿宋"/>
          <w:spacing w:val="8"/>
          <w:sz w:val="28"/>
          <w:szCs w:val="28"/>
        </w:rPr>
        <w:t>推进国有企业打造原创技术策源地的产业分析</w:t>
      </w:r>
      <w:r>
        <w:rPr>
          <w:rFonts w:ascii="仿宋" w:hAnsi="仿宋" w:eastAsia="仿宋" w:cs="仿宋"/>
          <w:spacing w:val="8"/>
          <w:sz w:val="28"/>
          <w:szCs w:val="28"/>
        </w:rPr>
        <w:t>；</w:t>
      </w:r>
    </w:p>
    <w:p w14:paraId="0A5B6C6B">
      <w:pPr>
        <w:spacing w:line="500" w:lineRule="exact"/>
        <w:ind w:firstLine="592" w:firstLineChars="200"/>
        <w:rPr>
          <w:rFonts w:ascii="仿宋" w:hAnsi="仿宋" w:eastAsia="仿宋" w:cs="仿宋"/>
          <w:spacing w:val="8"/>
          <w:sz w:val="28"/>
          <w:szCs w:val="28"/>
        </w:rPr>
      </w:pPr>
      <w:r>
        <w:rPr>
          <w:rFonts w:ascii="仿宋" w:hAnsi="仿宋" w:eastAsia="仿宋" w:cs="仿宋"/>
          <w:spacing w:val="8"/>
          <w:sz w:val="28"/>
          <w:szCs w:val="28"/>
        </w:rPr>
        <w:t>4.</w:t>
      </w:r>
      <w:r>
        <w:rPr>
          <w:rFonts w:hint="eastAsia" w:ascii="仿宋" w:hAnsi="仿宋" w:eastAsia="仿宋" w:cs="仿宋"/>
          <w:spacing w:val="8"/>
          <w:sz w:val="28"/>
          <w:szCs w:val="28"/>
        </w:rPr>
        <w:t>重点民营企业牵头承担国家重大技术攻关任务的方向</w:t>
      </w:r>
      <w:r>
        <w:rPr>
          <w:rFonts w:ascii="仿宋" w:hAnsi="仿宋" w:eastAsia="仿宋" w:cs="仿宋"/>
          <w:spacing w:val="8"/>
          <w:sz w:val="28"/>
          <w:szCs w:val="28"/>
        </w:rPr>
        <w:t>。</w:t>
      </w:r>
    </w:p>
    <w:p w14:paraId="3FD62E9E">
      <w:pPr>
        <w:spacing w:line="50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（三）“十五五”规划前期研究及规划编制实操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C34F974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规划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编制的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前期准备事项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基本流程与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十五五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规划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编制的新要求、新方法；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8CD2D93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总体规划（纲要）主要特点、编制程序、基本内容、编制常见问题及实操应用和编制案例分析；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692660E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区域规划、专项规划（纲要）主要特点、编制程序、基本内容、常见问题及编制案例解析等；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D921FF3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“十五五”重点课题前期研究与谋划；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2A306AF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“十五五”发展的主题和主线，以及“十五五”规划编制中需突出关注的重大问题；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727D985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规划编制与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重大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项目谋划的衔接与融合。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38C06E27">
      <w:pPr>
        <w:spacing w:line="50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（四）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地方政府专项债券项目谋划实务及案例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F11F63B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1.政府专项债券细分领域谋划包装注意问题及案例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DC5E137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.城投公司项目参与专项债的主要路径及案例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3B0E3FF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.专项债项目收入优化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方法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2BC3B37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.专项债券资金使用方式（直投、用作资本金、债务性资金）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662457C8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.银行贷款与政府专项债券投资项目实务及案例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 w14:paraId="17644EDE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.国企项目取得地方政府专项债券方式及资金会计处理方式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462E1214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.政府专项债券前期材料准备及申报流程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7FEE765E">
      <w:pPr>
        <w:spacing w:line="50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（五）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超长期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特别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国债项目储备谋划与申报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3E70A437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1.超长期特别国债概念、申报范围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03A8841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2.国家重大战略实施和重点领域安全能力建设的范围和领域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1C0548DE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3.超长期特别国债投资五大领域的对标储备谋划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ACBBC3F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4.本次超长期特别国债与前几次国债有何不同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7BF76BB2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5.超长期特别国债与中央预算内投资申请区别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5FF050CD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6.超长期特别国债项目储备谋划要求及审批流程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2E931DB7">
      <w:pPr>
        <w:spacing w:line="50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（六）城市更新项目投融资模式及案例</w:t>
      </w:r>
    </w:p>
    <w:p w14:paraId="502A54AB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1.城市更新的拆迁类、改建类、整治类内容解析；</w:t>
      </w:r>
    </w:p>
    <w:p w14:paraId="133F3AC8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2.城市更新实施主体的确定方式及案例；</w:t>
      </w:r>
    </w:p>
    <w:p w14:paraId="631B7461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3.老旧小区、老旧厂区、老旧街区、城中村改造的实施方式及案例；</w:t>
      </w:r>
    </w:p>
    <w:p w14:paraId="4F08C46E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4.城市更新项目融资方式及案例；</w:t>
      </w:r>
    </w:p>
    <w:p w14:paraId="48C59882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5.社会资本参与城市更新模式及案例；</w:t>
      </w:r>
    </w:p>
    <w:p w14:paraId="106E1213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6.城市更新基金当前应用情况；</w:t>
      </w:r>
    </w:p>
    <w:p w14:paraId="758BF838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7.如何发挥地方国有企业在城市更新项目中的作用；</w:t>
      </w:r>
    </w:p>
    <w:p w14:paraId="2B41A8DA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8.施工类央企参与城市更新项目的关注领域；</w:t>
      </w:r>
    </w:p>
    <w:p w14:paraId="2BFF7BB9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9.如何提高施工类央企在城市更新项目中的市场竞争力；</w:t>
      </w:r>
    </w:p>
    <w:p w14:paraId="698C45C1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10.城市更新中的财政支持政策；</w:t>
      </w:r>
    </w:p>
    <w:p w14:paraId="2D71931E">
      <w:pPr>
        <w:spacing w:line="50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11.有关城市更新项目的金融政策。</w:t>
      </w:r>
    </w:p>
    <w:p w14:paraId="0C161D09">
      <w:pPr>
        <w:spacing w:line="500" w:lineRule="exact"/>
        <w:ind w:firstLine="594" w:firstLineChars="200"/>
        <w:rPr>
          <w:rFonts w:ascii="仿宋" w:hAnsi="仿宋" w:eastAsia="仿宋" w:cs="仿宋"/>
          <w:b/>
          <w:bCs/>
          <w:spacing w:val="8"/>
          <w:sz w:val="28"/>
          <w:szCs w:val="28"/>
        </w:rPr>
      </w:pPr>
      <w:r>
        <w:rPr>
          <w:rFonts w:ascii="仿宋" w:hAnsi="仿宋" w:eastAsia="仿宋" w:cs="仿宋"/>
          <w:b/>
          <w:bCs/>
          <w:spacing w:val="8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pacing w:val="8"/>
          <w:sz w:val="28"/>
          <w:szCs w:val="28"/>
        </w:rPr>
        <w:t>七</w:t>
      </w:r>
      <w:r>
        <w:rPr>
          <w:rFonts w:ascii="仿宋" w:hAnsi="仿宋" w:eastAsia="仿宋" w:cs="仿宋"/>
          <w:b/>
          <w:bCs/>
          <w:spacing w:val="8"/>
          <w:sz w:val="28"/>
          <w:szCs w:val="28"/>
        </w:rPr>
        <w:t>）重大产业投资项目的投融资谋划和决策分析</w:t>
      </w:r>
    </w:p>
    <w:p w14:paraId="3AB3AD2D">
      <w:pPr>
        <w:spacing w:line="500" w:lineRule="exact"/>
        <w:ind w:firstLine="592" w:firstLineChars="200"/>
        <w:rPr>
          <w:rFonts w:ascii="仿宋" w:hAnsi="仿宋" w:eastAsia="仿宋" w:cs="仿宋"/>
          <w:spacing w:val="8"/>
          <w:sz w:val="28"/>
          <w:szCs w:val="28"/>
        </w:rPr>
      </w:pPr>
      <w:r>
        <w:rPr>
          <w:rFonts w:ascii="仿宋" w:hAnsi="仿宋" w:eastAsia="仿宋" w:cs="仿宋"/>
          <w:spacing w:val="8"/>
          <w:sz w:val="28"/>
          <w:szCs w:val="28"/>
        </w:rPr>
        <w:t>1.地方政府和国企产业投资的经典案例分析；</w:t>
      </w:r>
    </w:p>
    <w:p w14:paraId="13FCBF66">
      <w:pPr>
        <w:spacing w:line="500" w:lineRule="exact"/>
        <w:ind w:firstLine="592" w:firstLineChars="200"/>
        <w:rPr>
          <w:rFonts w:ascii="仿宋" w:hAnsi="仿宋" w:eastAsia="仿宋" w:cs="仿宋"/>
          <w:spacing w:val="8"/>
          <w:sz w:val="28"/>
          <w:szCs w:val="28"/>
        </w:rPr>
      </w:pPr>
      <w:r>
        <w:rPr>
          <w:rFonts w:ascii="仿宋" w:hAnsi="仿宋" w:eastAsia="仿宋" w:cs="仿宋"/>
          <w:spacing w:val="8"/>
          <w:sz w:val="28"/>
          <w:szCs w:val="28"/>
        </w:rPr>
        <w:t>2.政府和地方国企股权类产业投资的可行性研究、决策分析报告和投资合规流程解析；</w:t>
      </w:r>
    </w:p>
    <w:p w14:paraId="3A26AF88">
      <w:pPr>
        <w:spacing w:line="500" w:lineRule="exact"/>
        <w:ind w:firstLine="592" w:firstLineChars="200"/>
        <w:rPr>
          <w:rFonts w:ascii="仿宋" w:hAnsi="仿宋" w:eastAsia="仿宋" w:cs="仿宋"/>
          <w:spacing w:val="8"/>
          <w:sz w:val="28"/>
          <w:szCs w:val="28"/>
        </w:rPr>
      </w:pPr>
      <w:r>
        <w:rPr>
          <w:rFonts w:ascii="仿宋" w:hAnsi="仿宋" w:eastAsia="仿宋" w:cs="仿宋"/>
          <w:spacing w:val="8"/>
          <w:sz w:val="28"/>
          <w:szCs w:val="28"/>
        </w:rPr>
        <w:t>3.政府产业投资的全流程解决方案：“产业规划+招商服务+产业金融+资源导入”一体化产业服务体系。</w:t>
      </w:r>
    </w:p>
    <w:p w14:paraId="02A6B847">
      <w:pPr>
        <w:spacing w:line="50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、培训对象</w:t>
      </w:r>
    </w:p>
    <w:p w14:paraId="67E87435">
      <w:pPr>
        <w:spacing w:line="50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各级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政府发展改革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、财政、环保、住建、交通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运输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、水利、农业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农村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、林草、文旅等部门工作人员；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城投公司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为代表的各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类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融资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平台公司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相关人员；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污水垃圾处理、供水供气供热、仓储物流、新能源、环保及建筑施工等企业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有关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人员；银行、证券、基金、信托、保险等金融机构专业人员。</w:t>
      </w:r>
    </w:p>
    <w:p w14:paraId="67959B9A">
      <w:pPr>
        <w:spacing w:line="50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拟邀师资</w:t>
      </w:r>
    </w:p>
    <w:p w14:paraId="228AAFDD">
      <w:pPr>
        <w:spacing w:line="50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张朝元：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中国经济体制改革研究会副秘书长、培训中心主任，北京大学、清华大学投融资系列总裁研修班客座教授。</w:t>
      </w:r>
    </w:p>
    <w:p w14:paraId="6073FC0D">
      <w:pPr>
        <w:spacing w:line="50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林晓东：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中国经济体制改革研究会理事、特聘授课专家，中国投资协会项目投融资专委会特聘专家、大成律师事务所合伙人。</w:t>
      </w:r>
    </w:p>
    <w:p w14:paraId="0981E111">
      <w:pPr>
        <w:widowControl/>
        <w:spacing w:line="50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王小文：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住建部海绵城市试点考核专家，中国投资咨询有限责任公司战略与管理咨询事业部副总经理（主持工作）、研究中心主任。</w:t>
      </w:r>
    </w:p>
    <w:p w14:paraId="64AC83C7">
      <w:pPr>
        <w:pStyle w:val="6"/>
        <w:autoSpaceDE/>
        <w:autoSpaceDN/>
        <w:spacing w:line="500" w:lineRule="exact"/>
        <w:ind w:left="0" w:firstLine="562"/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Ansi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温来成：</w:t>
      </w:r>
      <w:r>
        <w:fldChar w:fldCharType="begin"/>
      </w:r>
      <w:r>
        <w:instrText xml:space="preserve"> HYPERLINK "https://baike.so.com/doc/3296910-3472858.html"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中国人民大学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经济学博士，</w:t>
      </w:r>
      <w:r>
        <w:fldChar w:fldCharType="begin"/>
      </w:r>
      <w:r>
        <w:instrText xml:space="preserve"> HYPERLINK "https://baike.so.com/doc/871579-921482.html"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中央财经大学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教授，博士生导师，</w:t>
      </w:r>
      <w:r>
        <w:fldChar w:fldCharType="begin"/>
      </w:r>
      <w:r>
        <w:instrText xml:space="preserve"> HYPERLINK "https://baike.so.com/doc/5383824-5620225.html"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国家社会科学基金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评审专家，</w:t>
      </w:r>
      <w:r>
        <w:fldChar w:fldCharType="begin"/>
      </w:r>
      <w:r>
        <w:instrText xml:space="preserve"> HYPERLINK "https://baike.so.com/doc/5568745-5783922.html"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国家自然科学基金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</w:t>
      </w:r>
      <w:r>
        <w:rPr>
          <w:rFonts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7E326953">
      <w:pPr>
        <w:spacing w:line="50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  鹏：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财政部政策实验室宏观经济部主任、经济学博士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中共中央党校干部学习网特约专家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5F058BDC">
      <w:pPr>
        <w:spacing w:line="50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朱  静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：中央财经大学PPP智库专家，中国政信（政务）研究中心专家，中能国和产业投资发展集团合伙人首席专家。</w:t>
      </w:r>
    </w:p>
    <w:p w14:paraId="4982B31E">
      <w:pPr>
        <w:spacing w:line="50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吴亚平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国家发展改革委投资研究所体制政策室原主任、投资研究所研究员，兼任中国社科院大学投资经济系教授、博导，中国社情民调百名经济学家，注册咨询工程师(投资),国家开发银行、中国国际工程咨询公司专家委员会专家。长期从事经济和投资形势分析、投融资政策和政府投融资管理研究，参与投融资政策法规研究起草。</w:t>
      </w:r>
    </w:p>
    <w:p w14:paraId="76D5B8D4">
      <w:pPr>
        <w:spacing w:line="50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培训时间与地点</w:t>
      </w:r>
    </w:p>
    <w:p w14:paraId="646C5D77">
      <w:pPr>
        <w:spacing w:line="54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2024年12月20日—12月23日 成都市 （20日全天报到）</w:t>
      </w:r>
    </w:p>
    <w:p w14:paraId="11073F00">
      <w:pPr>
        <w:spacing w:line="54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2025年01月10日—01月13日 厦门市 （10日全天报到）</w:t>
      </w:r>
    </w:p>
    <w:p w14:paraId="2E6FC363">
      <w:pPr>
        <w:spacing w:line="50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、收费标准</w:t>
      </w:r>
    </w:p>
    <w:p w14:paraId="5CD9563C">
      <w:pPr>
        <w:spacing w:line="50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A.3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0元/人（含培训、资料、电子课件、场地及培训期间午餐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、结业证书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），住宿统一安排，费用自理。</w:t>
      </w:r>
    </w:p>
    <w:p w14:paraId="076CB793">
      <w:pPr>
        <w:spacing w:line="50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B.5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0元/人（含培训、资料、电子课件、场地、证书及培训期间午餐），住宿统一安排，费用自理。培训结束后，经考核合格，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由中国投资协会颁发《投融资规划师》证书，需提供申报表、二寸白底免冠彩色照片、身份证复印件、学历证书复印件等电子版材料。</w:t>
      </w:r>
    </w:p>
    <w:p w14:paraId="1528B6E3">
      <w:pPr>
        <w:snapToGrid w:val="0"/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C.13880元/人(含培训、中国投资协会的会员证书铜牌【副会长单位价格另议】、资料、电子课件、场地及培训期间午餐、结业证书)；</w:t>
      </w:r>
    </w:p>
    <w:p w14:paraId="1B0A3770">
      <w:pPr>
        <w:snapToGrid w:val="0"/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D.25000元/单位，同步直播，单位投屏播放，统一观看，不限人数，提供电子课件，支持在线提问；</w:t>
      </w:r>
    </w:p>
    <w:p w14:paraId="331A560A">
      <w:pPr>
        <w:snapToGrid w:val="0"/>
        <w:spacing w:line="500" w:lineRule="exact"/>
        <w:ind w:firstLine="560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E.40000元/天，根据实际需求，个性化定制课程内容，委派专家赴政府、国有企业进行内部培训（含课酬、专家与助教交通费、资料费等，培训场地由受训单位提供）。</w:t>
      </w:r>
    </w:p>
    <w:p w14:paraId="15A72215">
      <w:pPr>
        <w:snapToGrid w:val="0"/>
        <w:spacing w:line="6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 w14:paraId="08D0805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37E9FA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附件2：</w:t>
      </w:r>
    </w:p>
    <w:p w14:paraId="397BCC3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553BDB">
      <w:pPr>
        <w:spacing w:line="480" w:lineRule="exact"/>
        <w:ind w:right="-147" w:rightChars="-70"/>
        <w:jc w:val="center"/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“十五五规划编制与化债背景下2025年重大投资项目谋划</w:t>
      </w:r>
    </w:p>
    <w:p w14:paraId="523F767E">
      <w:pPr>
        <w:spacing w:line="480" w:lineRule="exact"/>
        <w:ind w:right="-147" w:rightChars="-70"/>
        <w:jc w:val="center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实务运作模式高级研修班”报名回执表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64A95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C1BD47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279BDA8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65A2313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31B4385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7F4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61EEA6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7EFD669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09F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4A52B9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35FE8E9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D1D239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3080C87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5433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1DA56D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3294B1B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186B78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61A694F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DFE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7CFBA1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213D931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182038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708CE4F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70A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E7550B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05D61D1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0A4CEAE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5D59B5B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2AC78FE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7929D52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0A281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3A39F8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4BDE6F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2AC5540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ACE7A0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702AAB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BDB3F8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7B1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DA5724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3C1225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37544ED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135B5F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417A267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403FAFE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390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8C1A5C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7C4731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2E83D5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A2D0C8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E4B83E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25A265C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D7B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0EB361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EB57BA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723971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C80EC1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DE35C9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168B8A8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344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28814E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CA9497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082147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765F245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0F2756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203BBF9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58F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5467CC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464D7AE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CBF0A7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F455FD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CACEF9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165DDA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2A6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743C3B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42C51B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85CB89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488D32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040FE7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364216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131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189152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6F84F6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205D63E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432A4B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C9443F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6BDB20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801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A1151D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34525A1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A5C691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5D852D2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832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C4DC4D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4334438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326C1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0F3783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0536F4D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0E4D7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C8AB25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7D200CF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4870FEF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199F5C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DDB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1678" w:type="dxa"/>
            <w:vAlign w:val="center"/>
          </w:tcPr>
          <w:p w14:paraId="3BD4AA4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222ADC4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30B8BB45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北京中建科信管理咨询集团有限公司</w:t>
            </w:r>
          </w:p>
          <w:p w14:paraId="7E747AAE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中国工商银行股份有限公司北京半壁店支行</w:t>
            </w:r>
          </w:p>
          <w:p w14:paraId="534830E3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0200247009200068235</w:t>
            </w:r>
          </w:p>
        </w:tc>
      </w:tr>
      <w:tr w14:paraId="2281F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vAlign w:val="center"/>
          </w:tcPr>
          <w:p w14:paraId="19A782E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79F8BB0C"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58B3A7D2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23B16A89"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3F6DA73A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78390928">
      <w:pPr>
        <w:spacing w:line="440" w:lineRule="exact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34BFCD40">
      <w:pPr>
        <w:spacing w:line="440" w:lineRule="exact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       邮    箱：zqgphwz@126.com  </w:t>
      </w:r>
    </w:p>
    <w:p w14:paraId="674E9053">
      <w:pPr>
        <w:spacing w:line="440" w:lineRule="exact"/>
        <w:rPr>
          <w:rStyle w:val="9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  网    址：http://www.zqgpchina.cn</w:t>
      </w:r>
      <w:bookmarkStart w:id="0" w:name="_GoBack"/>
      <w:bookmarkEnd w:id="0"/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815E2"/>
    <w:rsid w:val="001A64D3"/>
    <w:rsid w:val="001E6722"/>
    <w:rsid w:val="002202BE"/>
    <w:rsid w:val="00231F16"/>
    <w:rsid w:val="0025634D"/>
    <w:rsid w:val="00263FBD"/>
    <w:rsid w:val="00266CDF"/>
    <w:rsid w:val="00272A46"/>
    <w:rsid w:val="002749C9"/>
    <w:rsid w:val="0027718C"/>
    <w:rsid w:val="00292E6A"/>
    <w:rsid w:val="002D0407"/>
    <w:rsid w:val="002D3499"/>
    <w:rsid w:val="003144E6"/>
    <w:rsid w:val="00327A7D"/>
    <w:rsid w:val="00342E6E"/>
    <w:rsid w:val="0038106F"/>
    <w:rsid w:val="003C409A"/>
    <w:rsid w:val="003F099E"/>
    <w:rsid w:val="00406D20"/>
    <w:rsid w:val="00412275"/>
    <w:rsid w:val="0044681F"/>
    <w:rsid w:val="00447DB3"/>
    <w:rsid w:val="00455750"/>
    <w:rsid w:val="00464B66"/>
    <w:rsid w:val="00480F5F"/>
    <w:rsid w:val="004A6EFA"/>
    <w:rsid w:val="004C036A"/>
    <w:rsid w:val="004F014E"/>
    <w:rsid w:val="005A569B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30220"/>
    <w:rsid w:val="008404E0"/>
    <w:rsid w:val="008753AE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DC72ED"/>
    <w:rsid w:val="00DF08E3"/>
    <w:rsid w:val="00E53EF0"/>
    <w:rsid w:val="00E826A8"/>
    <w:rsid w:val="00E86FBD"/>
    <w:rsid w:val="00E922E5"/>
    <w:rsid w:val="00EC12C0"/>
    <w:rsid w:val="00EE50FD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6252E77"/>
    <w:rsid w:val="06D7510F"/>
    <w:rsid w:val="07034156"/>
    <w:rsid w:val="07302A71"/>
    <w:rsid w:val="07943000"/>
    <w:rsid w:val="09D73678"/>
    <w:rsid w:val="0A1D552E"/>
    <w:rsid w:val="0A3E36F7"/>
    <w:rsid w:val="0A967156"/>
    <w:rsid w:val="0AD007F3"/>
    <w:rsid w:val="0B106E41"/>
    <w:rsid w:val="0BC1638D"/>
    <w:rsid w:val="0BCB0FBA"/>
    <w:rsid w:val="0BFC73C5"/>
    <w:rsid w:val="0C1C1816"/>
    <w:rsid w:val="0CA5180B"/>
    <w:rsid w:val="0D441024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D1C1676"/>
    <w:rsid w:val="1F0C571A"/>
    <w:rsid w:val="1F7D3C3E"/>
    <w:rsid w:val="201E5705"/>
    <w:rsid w:val="20996A84"/>
    <w:rsid w:val="20E406FC"/>
    <w:rsid w:val="21470C8B"/>
    <w:rsid w:val="21584C46"/>
    <w:rsid w:val="22162B37"/>
    <w:rsid w:val="225418B2"/>
    <w:rsid w:val="22970BC7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D134D1"/>
    <w:rsid w:val="27322CEB"/>
    <w:rsid w:val="28347296"/>
    <w:rsid w:val="286345FC"/>
    <w:rsid w:val="28F8538E"/>
    <w:rsid w:val="290C6A42"/>
    <w:rsid w:val="29114058"/>
    <w:rsid w:val="294F2DD3"/>
    <w:rsid w:val="29EE2863"/>
    <w:rsid w:val="2A3F4BF5"/>
    <w:rsid w:val="2B7C67AE"/>
    <w:rsid w:val="2BA2543C"/>
    <w:rsid w:val="2BF85682"/>
    <w:rsid w:val="2CFC6DCE"/>
    <w:rsid w:val="2E020414"/>
    <w:rsid w:val="30450A8C"/>
    <w:rsid w:val="3087555D"/>
    <w:rsid w:val="309C68FD"/>
    <w:rsid w:val="317E4255"/>
    <w:rsid w:val="32851613"/>
    <w:rsid w:val="32902492"/>
    <w:rsid w:val="32A777DC"/>
    <w:rsid w:val="3333106F"/>
    <w:rsid w:val="34D50630"/>
    <w:rsid w:val="35544EB1"/>
    <w:rsid w:val="35EF5721"/>
    <w:rsid w:val="37465815"/>
    <w:rsid w:val="377F2AD5"/>
    <w:rsid w:val="37A97B52"/>
    <w:rsid w:val="37E312B6"/>
    <w:rsid w:val="380F16DC"/>
    <w:rsid w:val="38997BC6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5B5467"/>
    <w:rsid w:val="4D5519C8"/>
    <w:rsid w:val="4D933821"/>
    <w:rsid w:val="4F052825"/>
    <w:rsid w:val="4F3C5B7E"/>
    <w:rsid w:val="4F95546D"/>
    <w:rsid w:val="5004187B"/>
    <w:rsid w:val="501778F7"/>
    <w:rsid w:val="50414974"/>
    <w:rsid w:val="519D207E"/>
    <w:rsid w:val="53590226"/>
    <w:rsid w:val="53803A05"/>
    <w:rsid w:val="538C23AA"/>
    <w:rsid w:val="53CB2ED2"/>
    <w:rsid w:val="53F51CFD"/>
    <w:rsid w:val="545306B4"/>
    <w:rsid w:val="55F07A61"/>
    <w:rsid w:val="55FC102D"/>
    <w:rsid w:val="55FF9B2E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E8F31A2"/>
    <w:rsid w:val="5F17C656"/>
    <w:rsid w:val="5F742670"/>
    <w:rsid w:val="5FBA6029"/>
    <w:rsid w:val="60883C70"/>
    <w:rsid w:val="61131A15"/>
    <w:rsid w:val="61DF3FED"/>
    <w:rsid w:val="629B6165"/>
    <w:rsid w:val="62F53AC8"/>
    <w:rsid w:val="63C72C14"/>
    <w:rsid w:val="6603474E"/>
    <w:rsid w:val="66682803"/>
    <w:rsid w:val="697274F4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FC2F67"/>
    <w:rsid w:val="769A6A08"/>
    <w:rsid w:val="77161E07"/>
    <w:rsid w:val="77E837A3"/>
    <w:rsid w:val="781854D6"/>
    <w:rsid w:val="78771BB8"/>
    <w:rsid w:val="788B5230"/>
    <w:rsid w:val="78C37D6C"/>
    <w:rsid w:val="79E22D53"/>
    <w:rsid w:val="79EFE92F"/>
    <w:rsid w:val="7A794B87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1292C"/>
    <w:rsid w:val="7DDEE21D"/>
    <w:rsid w:val="7F840255"/>
    <w:rsid w:val="7FF34603"/>
    <w:rsid w:val="7FFD6EDF"/>
    <w:rsid w:val="B3DFA468"/>
    <w:rsid w:val="BFFF538A"/>
    <w:rsid w:val="CCF6F1B0"/>
    <w:rsid w:val="DFBB5A45"/>
    <w:rsid w:val="E69ECEE0"/>
    <w:rsid w:val="EEEB136F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Char"/>
    <w:basedOn w:val="8"/>
    <w:link w:val="2"/>
    <w:semiHidden/>
    <w:qFormat/>
    <w:uiPriority w:val="99"/>
  </w:style>
  <w:style w:type="character" w:customStyle="1" w:styleId="13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Char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2543</Words>
  <Characters>2723</Characters>
  <Lines>38</Lines>
  <Paragraphs>10</Paragraphs>
  <TotalTime>16</TotalTime>
  <ScaleCrop>false</ScaleCrop>
  <LinksUpToDate>false</LinksUpToDate>
  <CharactersWithSpaces>2832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2024-01-11T10:35:00Z</dcterms:created>
  <dc:creator>Lenovo</dc:creator>
  <cp:lastModifiedBy>聂红军</cp:lastModifiedBy>
  <cp:lastPrinted>2023-05-08T10:47:00Z</cp:lastPrinted>
  <dcterms:modified xsi:type="dcterms:W3CDTF">2024-12-03T00:22:23Z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24311E9AD2114D6FABFD9AF4F494C346_13</vt:lpwstr>
  </property>
</Properties>
</file>