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20491">
      <w:pPr>
        <w:jc w:val="center"/>
        <w:rPr>
          <w:color w:val="FF0000"/>
          <w:spacing w:val="-57"/>
          <w:sz w:val="72"/>
          <w:szCs w:val="72"/>
        </w:rPr>
      </w:pPr>
      <w:r>
        <w:rPr>
          <w:b/>
          <w:bCs/>
          <w:color w:val="FF0000"/>
          <w:spacing w:val="-57"/>
          <w:sz w:val="72"/>
          <w:szCs w:val="72"/>
        </w:rPr>
        <w:t>北京建术信息科技研究院有限公司</w:t>
      </w:r>
    </w:p>
    <w:p w14:paraId="4177EC01">
      <w:pPr>
        <w:jc w:val="center"/>
        <w:rPr>
          <w:rFonts w:ascii="仿宋" w:hAnsi="仿宋" w:eastAsia="仿宋"/>
          <w:b/>
          <w:sz w:val="28"/>
          <w:szCs w:val="28"/>
        </w:rPr>
      </w:pPr>
      <w:r>
        <w:rPr>
          <w:rFonts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377190</wp:posOffset>
                </wp:positionV>
                <wp:extent cx="6061710" cy="0"/>
                <wp:effectExtent l="0" t="9525" r="8890" b="1587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3.85pt;margin-top:29.7pt;height:0pt;width:477.3pt;z-index:251659264;mso-width-relative:page;mso-height-relative:page;" filled="f" stroked="t" coordsize="21600,21600" o:gfxdata="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aUqZ1gAAAAkBAAAPAAAAAAAAAAEAIAAAACIAAABkcnMvZG93bnJldi54bWxQSwEC&#10;FAAUAAAACACHTuJABB6YkfYBAADMAwAADgAAAAAAAAABACAAAAAlAQAAZHJzL2Uyb0RvYy54bWxQ&#10;SwUGAAAAAAYABgBZAQAAjQUAAAAA&#10;">
                <v:fill on="f" focussize="0,0"/>
                <v:stroke weight="1.5pt" color="#FF0000" miterlimit="8" joinstyle="miter"/>
                <v:imagedata o:title=""/>
                <o:lock v:ext="edit" aspectratio="f"/>
              </v:line>
            </w:pict>
          </mc:Fallback>
        </mc:AlternateContent>
      </w:r>
      <w:r>
        <w:rPr>
          <w:rFonts w:hint="eastAsia" w:ascii="仿宋" w:hAnsi="仿宋" w:eastAsia="仿宋" w:cs="仿宋"/>
          <w:sz w:val="28"/>
          <w:szCs w:val="28"/>
        </w:rPr>
        <w:t>建术信息202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01</w:t>
      </w:r>
      <w:r>
        <w:rPr>
          <w:rFonts w:hint="eastAsia" w:ascii="仿宋" w:hAnsi="仿宋" w:eastAsia="仿宋" w:cs="仿宋"/>
          <w:sz w:val="28"/>
          <w:szCs w:val="28"/>
        </w:rPr>
        <w:t>】号</w:t>
      </w:r>
    </w:p>
    <w:p w14:paraId="680C8F6F">
      <w:pPr>
        <w:pStyle w:val="3"/>
        <w:shd w:val="clear" w:color="auto" w:fill="FFFFFF"/>
        <w:spacing w:before="0" w:beforeAutospacing="0" w:after="0" w:afterAutospacing="0"/>
        <w:jc w:val="center"/>
        <w:rPr>
          <w:rStyle w:val="7"/>
          <w:rFonts w:hint="eastAsia" w:ascii="仿宋" w:hAnsi="仿宋" w:eastAsia="仿宋" w:cs="仿宋"/>
          <w:color w:val="auto"/>
          <w:kern w:val="2"/>
          <w:sz w:val="28"/>
          <w:szCs w:val="28"/>
          <w:shd w:val="clear" w:color="auto" w:fill="FFFFFF"/>
          <w:lang w:val="en-US" w:eastAsia="zh-CN"/>
        </w:rPr>
      </w:pPr>
      <w:r>
        <w:rPr>
          <w:rStyle w:val="7"/>
          <w:rFonts w:hint="eastAsia" w:ascii="仿宋" w:hAnsi="仿宋" w:eastAsia="仿宋" w:cs="仿宋"/>
          <w:color w:val="auto"/>
          <w:kern w:val="2"/>
          <w:sz w:val="28"/>
          <w:szCs w:val="28"/>
          <w:shd w:val="clear" w:color="auto" w:fill="FFFFFF"/>
          <w:lang w:val="en-US" w:eastAsia="zh-CN"/>
        </w:rPr>
        <w:t>关于举办新</w:t>
      </w:r>
      <w:r>
        <w:rPr>
          <w:rStyle w:val="7"/>
          <w:rFonts w:hint="eastAsia" w:ascii="仿宋" w:hAnsi="仿宋" w:eastAsia="仿宋" w:cs="仿宋"/>
          <w:color w:val="auto"/>
          <w:kern w:val="2"/>
          <w:sz w:val="28"/>
          <w:szCs w:val="28"/>
          <w:shd w:val="clear" w:color="auto" w:fill="FFFFFF"/>
        </w:rPr>
        <w:t>版《建设工程工程量清单计价标准》</w:t>
      </w:r>
      <w:r>
        <w:rPr>
          <w:rStyle w:val="7"/>
          <w:rFonts w:hint="eastAsia" w:ascii="仿宋" w:hAnsi="仿宋" w:eastAsia="仿宋" w:cs="仿宋"/>
          <w:color w:val="auto"/>
          <w:kern w:val="2"/>
          <w:sz w:val="28"/>
          <w:szCs w:val="28"/>
          <w:shd w:val="clear" w:color="auto" w:fill="FFFFFF"/>
          <w:lang w:eastAsia="zh-CN"/>
        </w:rPr>
        <w:t>（</w:t>
      </w:r>
      <w:r>
        <w:rPr>
          <w:rStyle w:val="7"/>
          <w:rFonts w:hint="eastAsia" w:ascii="仿宋" w:hAnsi="仿宋" w:eastAsia="仿宋" w:cs="仿宋"/>
          <w:color w:val="auto"/>
          <w:kern w:val="2"/>
          <w:sz w:val="28"/>
          <w:szCs w:val="28"/>
          <w:shd w:val="clear" w:color="auto" w:fill="FFFFFF"/>
        </w:rPr>
        <w:t>GB/T50500-2024）释义运用</w:t>
      </w:r>
      <w:r>
        <w:rPr>
          <w:rStyle w:val="7"/>
          <w:rFonts w:hint="eastAsia" w:ascii="仿宋" w:hAnsi="仿宋" w:eastAsia="仿宋" w:cs="仿宋"/>
          <w:color w:val="auto"/>
          <w:kern w:val="2"/>
          <w:sz w:val="28"/>
          <w:szCs w:val="28"/>
          <w:shd w:val="clear" w:color="auto" w:fill="FFFFFF"/>
          <w:lang w:eastAsia="zh-CN"/>
        </w:rPr>
        <w:t>、</w:t>
      </w:r>
      <w:r>
        <w:rPr>
          <w:rStyle w:val="7"/>
          <w:rFonts w:hint="eastAsia" w:ascii="仿宋" w:hAnsi="仿宋" w:eastAsia="仿宋" w:cs="仿宋"/>
          <w:color w:val="auto"/>
          <w:kern w:val="2"/>
          <w:sz w:val="28"/>
          <w:szCs w:val="28"/>
          <w:shd w:val="clear" w:color="auto" w:fill="FFFFFF"/>
        </w:rPr>
        <w:t>政府投资项目全过程造价管控</w:t>
      </w:r>
      <w:r>
        <w:rPr>
          <w:rStyle w:val="7"/>
          <w:rFonts w:hint="eastAsia" w:ascii="仿宋" w:hAnsi="仿宋" w:eastAsia="仿宋" w:cs="仿宋"/>
          <w:color w:val="auto"/>
          <w:kern w:val="2"/>
          <w:sz w:val="28"/>
          <w:szCs w:val="28"/>
          <w:shd w:val="clear" w:color="auto" w:fill="FFFFFF"/>
          <w:lang w:val="en-US" w:eastAsia="zh-CN"/>
        </w:rPr>
        <w:t>与</w:t>
      </w:r>
      <w:r>
        <w:rPr>
          <w:rStyle w:val="7"/>
          <w:rFonts w:hint="eastAsia" w:ascii="仿宋" w:hAnsi="仿宋" w:eastAsia="仿宋" w:cs="仿宋"/>
          <w:color w:val="auto"/>
          <w:kern w:val="2"/>
          <w:sz w:val="28"/>
          <w:szCs w:val="28"/>
          <w:shd w:val="clear" w:color="auto" w:fill="FFFFFF"/>
        </w:rPr>
        <w:t>结算审计实务疑难点解析培训</w:t>
      </w:r>
      <w:r>
        <w:rPr>
          <w:rStyle w:val="7"/>
          <w:rFonts w:hint="eastAsia" w:ascii="仿宋" w:hAnsi="仿宋" w:eastAsia="仿宋" w:cs="仿宋"/>
          <w:color w:val="auto"/>
          <w:kern w:val="2"/>
          <w:sz w:val="28"/>
          <w:szCs w:val="28"/>
          <w:shd w:val="clear" w:color="auto" w:fill="FFFFFF"/>
          <w:lang w:val="en-US" w:eastAsia="zh-CN"/>
        </w:rPr>
        <w:t>班的通知</w:t>
      </w:r>
    </w:p>
    <w:p w14:paraId="47197496">
      <w:pPr>
        <w:pStyle w:val="3"/>
        <w:shd w:val="clear" w:color="auto" w:fill="FFFFFF"/>
        <w:spacing w:before="0" w:beforeAutospacing="0" w:after="0" w:afterAutospacing="0"/>
        <w:rPr>
          <w:rStyle w:val="7"/>
          <w:rFonts w:hint="eastAsia" w:ascii="仿宋" w:hAnsi="仿宋" w:eastAsia="仿宋" w:cs="仿宋"/>
          <w:color w:val="3E3E3E"/>
          <w:sz w:val="24"/>
          <w:szCs w:val="24"/>
        </w:rPr>
      </w:pPr>
    </w:p>
    <w:p w14:paraId="3F0F4FA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3E3E3E"/>
          <w:sz w:val="24"/>
          <w:szCs w:val="24"/>
        </w:rPr>
      </w:pPr>
      <w:r>
        <w:rPr>
          <w:rStyle w:val="7"/>
          <w:rFonts w:hint="eastAsia" w:ascii="仿宋" w:hAnsi="仿宋" w:eastAsia="仿宋" w:cs="仿宋"/>
          <w:color w:val="3E3E3E"/>
          <w:sz w:val="24"/>
          <w:szCs w:val="24"/>
        </w:rPr>
        <w:t>各有关单位：</w:t>
      </w:r>
    </w:p>
    <w:p w14:paraId="4CC01D85">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2024年12月30日，住房城乡建设部发布</w:t>
      </w:r>
      <w:r>
        <w:rPr>
          <w:rFonts w:hint="eastAsia" w:ascii="仿宋" w:hAnsi="仿宋" w:eastAsia="仿宋" w:cs="仿宋"/>
          <w:sz w:val="24"/>
          <w:szCs w:val="24"/>
          <w:lang w:val="en-US" w:eastAsia="zh-CN"/>
        </w:rPr>
        <w:t>的新</w:t>
      </w:r>
      <w:r>
        <w:rPr>
          <w:rFonts w:hint="eastAsia" w:ascii="仿宋" w:hAnsi="仿宋" w:eastAsia="仿宋" w:cs="仿宋"/>
          <w:sz w:val="24"/>
          <w:szCs w:val="24"/>
        </w:rPr>
        <w:t>版《建设工程工程量清单计价标准》</w:t>
      </w:r>
      <w:r>
        <w:rPr>
          <w:rFonts w:hint="eastAsia" w:ascii="仿宋" w:hAnsi="仿宋" w:eastAsia="仿宋" w:cs="仿宋"/>
          <w:sz w:val="24"/>
          <w:szCs w:val="24"/>
          <w:lang w:eastAsia="zh-CN"/>
        </w:rPr>
        <w:t>（</w:t>
      </w:r>
      <w:r>
        <w:rPr>
          <w:rFonts w:hint="eastAsia" w:ascii="仿宋" w:hAnsi="仿宋" w:eastAsia="仿宋" w:cs="仿宋"/>
          <w:sz w:val="24"/>
          <w:szCs w:val="24"/>
        </w:rPr>
        <w:t>GB/T50500-2024）</w:t>
      </w:r>
      <w:r>
        <w:rPr>
          <w:rFonts w:hint="eastAsia" w:ascii="仿宋" w:hAnsi="仿宋" w:eastAsia="仿宋" w:cs="仿宋"/>
          <w:sz w:val="24"/>
          <w:szCs w:val="24"/>
          <w:lang w:eastAsia="zh-CN"/>
        </w:rPr>
        <w:t>，</w:t>
      </w:r>
      <w:r>
        <w:rPr>
          <w:rFonts w:hint="eastAsia" w:ascii="仿宋" w:hAnsi="仿宋" w:eastAsia="仿宋" w:cs="仿宋"/>
          <w:sz w:val="24"/>
          <w:szCs w:val="24"/>
        </w:rPr>
        <w:t>自2025年9月1日起实施</w:t>
      </w:r>
      <w:r>
        <w:rPr>
          <w:rFonts w:hint="eastAsia" w:ascii="仿宋" w:hAnsi="仿宋" w:eastAsia="仿宋" w:cs="仿宋"/>
          <w:sz w:val="24"/>
          <w:szCs w:val="24"/>
          <w:lang w:eastAsia="zh-CN"/>
        </w:rPr>
        <w:t>。</w:t>
      </w:r>
      <w:r>
        <w:rPr>
          <w:rFonts w:hint="eastAsia" w:ascii="仿宋" w:hAnsi="仿宋" w:eastAsia="仿宋" w:cs="仿宋"/>
          <w:sz w:val="24"/>
          <w:szCs w:val="24"/>
        </w:rPr>
        <w:t>该标准结合最新的法律、法规、行业政策及行业发展方向更新，关于发承包双方定量价风险的界定更为完善，条款更趋具体、贴近实务。</w:t>
      </w:r>
      <w:r>
        <w:rPr>
          <w:rFonts w:hint="eastAsia" w:ascii="仿宋" w:hAnsi="仿宋" w:eastAsia="仿宋" w:cs="仿宋"/>
          <w:sz w:val="24"/>
          <w:szCs w:val="24"/>
          <w:lang w:val="en-US" w:eastAsia="zh-CN"/>
        </w:rPr>
        <w:t>新</w:t>
      </w:r>
      <w:r>
        <w:rPr>
          <w:rFonts w:hint="eastAsia" w:ascii="仿宋" w:hAnsi="仿宋" w:eastAsia="仿宋" w:cs="仿宋"/>
          <w:sz w:val="24"/>
          <w:szCs w:val="24"/>
        </w:rPr>
        <w:t>版《建设工程工程量清单计价标准》为推进工程造价市场化、国际化改革提供了政策依据，对于专业人员在执业过程中会起到更好的引导作用。</w:t>
      </w:r>
    </w:p>
    <w:p w14:paraId="3959A009">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b/>
          <w:sz w:val="24"/>
          <w:szCs w:val="24"/>
        </w:rPr>
        <w:t>“国家造价改革”</w:t>
      </w:r>
      <w:r>
        <w:rPr>
          <w:rFonts w:hint="eastAsia" w:ascii="仿宋" w:hAnsi="仿宋" w:eastAsia="仿宋" w:cs="仿宋"/>
          <w:sz w:val="24"/>
          <w:szCs w:val="24"/>
        </w:rPr>
        <w:t>背景下，工程造价有哪些改变？建设工程施工合同纠纷的计价与结算有哪些热点与难点问题？如何确定工程造价？这都是在工程实践中亟需掌握的重中之重。现实中，工程设计变更、人工材料涨价、计价纠纷、工程款纠纷、结算审计等等各类造价问题严重困扰着各参建方，如何在造价层面予以防范？避免不必要的损失！以及产生纠纷后如何有效处理？工程造价一直是建筑市场博弈的焦点，工程造价管控、计价分歧、施工合同纠纷、工程价款调整与结算审计问题越来越引起各市场主体的高度重视。</w:t>
      </w:r>
    </w:p>
    <w:p w14:paraId="20EEE5F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为实现各方合作共赢的梦想，我中心决定举办</w:t>
      </w:r>
      <w:r>
        <w:rPr>
          <w:rFonts w:hint="eastAsia" w:ascii="仿宋" w:hAnsi="仿宋" w:eastAsia="仿宋" w:cs="仿宋"/>
          <w:b/>
          <w:color w:val="3E3E3E"/>
          <w:sz w:val="24"/>
          <w:szCs w:val="24"/>
        </w:rPr>
        <w:t>“</w:t>
      </w:r>
      <w:r>
        <w:rPr>
          <w:rStyle w:val="7"/>
          <w:rFonts w:hint="eastAsia" w:ascii="仿宋" w:hAnsi="仿宋" w:eastAsia="仿宋" w:cs="仿宋"/>
          <w:sz w:val="24"/>
          <w:szCs w:val="24"/>
          <w:shd w:val="clear" w:color="auto" w:fill="FFFFFF"/>
          <w:lang w:val="en-US" w:eastAsia="zh-CN"/>
        </w:rPr>
        <w:t>新</w:t>
      </w:r>
      <w:r>
        <w:rPr>
          <w:rStyle w:val="7"/>
          <w:rFonts w:hint="eastAsia" w:ascii="仿宋" w:hAnsi="仿宋" w:eastAsia="仿宋" w:cs="仿宋"/>
          <w:sz w:val="24"/>
          <w:szCs w:val="24"/>
          <w:shd w:val="clear" w:color="auto" w:fill="FFFFFF"/>
        </w:rPr>
        <w:t>版《建设工程工程量清单计价标准》</w:t>
      </w:r>
      <w:r>
        <w:rPr>
          <w:rStyle w:val="7"/>
          <w:rFonts w:hint="eastAsia" w:ascii="仿宋" w:hAnsi="仿宋" w:eastAsia="仿宋" w:cs="仿宋"/>
          <w:sz w:val="24"/>
          <w:szCs w:val="24"/>
          <w:shd w:val="clear" w:color="auto" w:fill="FFFFFF"/>
          <w:lang w:eastAsia="zh-CN"/>
        </w:rPr>
        <w:t>（</w:t>
      </w:r>
      <w:r>
        <w:rPr>
          <w:rStyle w:val="7"/>
          <w:rFonts w:hint="eastAsia" w:ascii="仿宋" w:hAnsi="仿宋" w:eastAsia="仿宋" w:cs="仿宋"/>
          <w:sz w:val="24"/>
          <w:szCs w:val="24"/>
          <w:shd w:val="clear" w:color="auto" w:fill="FFFFFF"/>
        </w:rPr>
        <w:t>GB/T50500-2024）释义运用、政府投资项目全过程造价管控</w:t>
      </w:r>
      <w:r>
        <w:rPr>
          <w:rStyle w:val="7"/>
          <w:rFonts w:hint="eastAsia" w:ascii="仿宋" w:hAnsi="仿宋" w:eastAsia="仿宋" w:cs="仿宋"/>
          <w:sz w:val="24"/>
          <w:szCs w:val="24"/>
          <w:shd w:val="clear" w:color="auto" w:fill="FFFFFF"/>
          <w:lang w:val="en-US" w:eastAsia="zh-CN"/>
        </w:rPr>
        <w:t>与</w:t>
      </w:r>
      <w:r>
        <w:rPr>
          <w:rStyle w:val="7"/>
          <w:rFonts w:hint="eastAsia" w:ascii="仿宋" w:hAnsi="仿宋" w:eastAsia="仿宋" w:cs="仿宋"/>
          <w:sz w:val="24"/>
          <w:szCs w:val="24"/>
          <w:shd w:val="clear" w:color="auto" w:fill="FFFFFF"/>
        </w:rPr>
        <w:t>结算审计实务疑难点解析培训班</w:t>
      </w:r>
      <w:r>
        <w:rPr>
          <w:rFonts w:hint="eastAsia" w:ascii="仿宋" w:hAnsi="仿宋" w:eastAsia="仿宋" w:cs="仿宋"/>
          <w:b/>
          <w:color w:val="3E3E3E"/>
          <w:sz w:val="24"/>
          <w:szCs w:val="24"/>
        </w:rPr>
        <w:t>”</w:t>
      </w:r>
      <w:r>
        <w:rPr>
          <w:rFonts w:hint="eastAsia" w:ascii="仿宋" w:hAnsi="仿宋" w:eastAsia="仿宋" w:cs="仿宋"/>
          <w:color w:val="3E3E3E"/>
          <w:sz w:val="24"/>
          <w:szCs w:val="24"/>
        </w:rPr>
        <w:t>。</w:t>
      </w:r>
      <w:r>
        <w:rPr>
          <w:rFonts w:hint="eastAsia" w:ascii="仿宋" w:hAnsi="仿宋" w:eastAsia="仿宋" w:cs="仿宋"/>
          <w:sz w:val="24"/>
          <w:szCs w:val="24"/>
        </w:rPr>
        <w:t>我们将工程造价与结算审计疑难问题进行全面梳理，提出相应的对策和措施。现将有关事项通知如下：</w:t>
      </w:r>
    </w:p>
    <w:p w14:paraId="0D97E918">
      <w:pPr>
        <w:pStyle w:val="9"/>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培训内容</w:t>
      </w:r>
    </w:p>
    <w:p w14:paraId="118C1CDA">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）《建设工程工程量清单计价标准》（GB/T50500-2024）释义运用</w:t>
      </w:r>
    </w:p>
    <w:p w14:paraId="28E035A4">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修订不同合同形式的风险范围及承担规则 </w:t>
      </w:r>
    </w:p>
    <w:p w14:paraId="7B62021C">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增加投标报价澄清或说明</w:t>
      </w:r>
    </w:p>
    <w:p w14:paraId="27B7AD8B">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修订施工措施项目计价规则</w:t>
      </w:r>
    </w:p>
    <w:p w14:paraId="5E4E4390">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删除合同价款约定章节，增加合同选择与要求章节 </w:t>
      </w:r>
    </w:p>
    <w:p w14:paraId="40C07839">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修订合同工程计量与价款调整规则</w:t>
      </w:r>
    </w:p>
    <w:p w14:paraId="1A60C981">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删除工程签证条款，增加新增工程计量与计价规则 </w:t>
      </w:r>
    </w:p>
    <w:p w14:paraId="2FD1D7B9">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增加施工过程结算计价与支付规则</w:t>
      </w:r>
    </w:p>
    <w:p w14:paraId="648DB7F9">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修订合同价款争议解决的办法 </w:t>
      </w:r>
    </w:p>
    <w:p w14:paraId="2986B038">
      <w:pPr>
        <w:keepNext w:val="0"/>
        <w:keepLines w:val="0"/>
        <w:pageBreakBefore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删除工程造价鉴定章节</w:t>
      </w:r>
    </w:p>
    <w:p w14:paraId="01D3321F">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按照招标图纸及技术标准规范可确定项目特征但不能准确计算工程数量的项目应如何处理？</w:t>
      </w:r>
    </w:p>
    <w:p w14:paraId="2F531767">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采用单价合同的工程，工程量清单缺陷引起清单项目变化或清单工程量增加或减少且增减工程量未超过相应清单项目合同清单所含工程量的15%时，应如何计算调整合同价格？</w:t>
      </w:r>
    </w:p>
    <w:p w14:paraId="734434D5">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采用单价合同的工程，应如何重新计量合同图纸的分部分项工程项目清单的所有清单项目及工程量？</w:t>
      </w:r>
    </w:p>
    <w:p w14:paraId="00863B4D">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采用单价合同的工程变更应如何处理？</w:t>
      </w:r>
    </w:p>
    <w:p w14:paraId="71034A4E">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采用总价合同的工程量清单，如工程量清单存在缺陷，清单缺陷引起的价款变化应如何处理？</w:t>
      </w:r>
    </w:p>
    <w:p w14:paraId="4B1E4D3E">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采用总价合同的工程中，投标人应如何补充完善工程量清单并填报项目价格？</w:t>
      </w:r>
    </w:p>
    <w:p w14:paraId="7486D604">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单价合同的分部分项工程项目清单工程量应如何计算？</w:t>
      </w:r>
    </w:p>
    <w:p w14:paraId="1ADB00BA">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对分部分项工程项目清单中发包人提供材料的清单项目，投标人应如何进行安装报价？</w:t>
      </w:r>
    </w:p>
    <w:p w14:paraId="01A9FF5E">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分部分项工程项目清单内说明是暂定数量的清单项目及其工程数量应按什么规定重新计量确定？</w:t>
      </w:r>
    </w:p>
    <w:p w14:paraId="5B875584">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工程变更引起的应予计量的工程量应如何计算？</w:t>
      </w:r>
    </w:p>
    <w:p w14:paraId="518877BF">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工程量清单中给定材料暂估价的清单项目价格调整时，应如何操作？</w:t>
      </w:r>
    </w:p>
    <w:p w14:paraId="294D6620">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工程量清单中给定暂估价的材料不属于依法必须招标的，可采取哪些方式确定价格并调整合同价格？</w:t>
      </w:r>
    </w:p>
    <w:p w14:paraId="2FC45E0A">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工程量清单中给定暂估价的材料和（或）暂估价的专业工程属于依法必须招标的，应如何确定材料税前价格和（或）含税专业分包工程价格，并调整合同价格？</w:t>
      </w:r>
    </w:p>
    <w:p w14:paraId="0EE91F47">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如果投标人对分部分项工程项目清单有疑问或异议，应如何处理？</w:t>
      </w:r>
    </w:p>
    <w:p w14:paraId="21F8DF62">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投标报价的综合单价及投标总价是否应包含发包人提供材料的供货人将相关的材料运抵交货地点、完成卸货的费用？</w:t>
      </w:r>
    </w:p>
    <w:p w14:paraId="119CFE29">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完成发包人要求的暂列金额项目中所含未能完全预见或详细说明的工程的分部分项工程项目清单应如何计量？</w:t>
      </w:r>
    </w:p>
    <w:p w14:paraId="6B7B49A0">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未按要求填报综合单价及其合价和(或)清单项目价格时，应如何处理？</w:t>
      </w:r>
    </w:p>
    <w:p w14:paraId="163A295F">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以综合单价形式计价的措施项目和其他措施项目应如何执行？</w:t>
      </w:r>
    </w:p>
    <w:p w14:paraId="0153CD79">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由发包人作为招标人进行暂估价材料、暂估价专业工程招标的，费用承担情况如何？</w:t>
      </w:r>
    </w:p>
    <w:p w14:paraId="1DC5067E">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招标人核实并修正分部分项工程项目清单后，投标人应如何进行投标报价？</w:t>
      </w:r>
    </w:p>
    <w:p w14:paraId="6E647C8D">
      <w:pPr>
        <w:keepNext w:val="0"/>
        <w:keepLines w:val="0"/>
        <w:pageBreakBefore w:val="0"/>
        <w:numPr>
          <w:ilvl w:val="0"/>
          <w:numId w:val="2"/>
        </w:numPr>
        <w:kinsoku/>
        <w:wordWrap/>
        <w:overflowPunct/>
        <w:topLinePunct w:val="0"/>
        <w:autoSpaceDE/>
        <w:autoSpaceDN/>
        <w:bidi w:val="0"/>
        <w:adjustRightInd/>
        <w:snapToGrid/>
        <w:spacing w:line="300" w:lineRule="exact"/>
        <w:ind w:left="42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总价合同的分部分项工程项目清单工程量应如何计算？</w:t>
      </w:r>
    </w:p>
    <w:p w14:paraId="5798834A">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）招投标造价问题</w:t>
      </w:r>
    </w:p>
    <w:p w14:paraId="0434B338">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招标文件规定，招标人不对限额清单准确性负责，限额清单的工程量为中标人必须完成的基本工程量，且总价包干,中标人承担除按合同约定进行调价外的一切风险，如何处理？</w:t>
      </w:r>
    </w:p>
    <w:p w14:paraId="4739CD60">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招标文件中技术参数要求有误与现场实际情况不符，如何处理？</w:t>
      </w:r>
    </w:p>
    <w:p w14:paraId="6A3DDE32">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招标限价很低，询价市场价高，可否重新组价?</w:t>
      </w:r>
    </w:p>
    <w:p w14:paraId="4BCC3B92">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招标材料无品牌要求，后甲方指定了品牌，如何调整？</w:t>
      </w:r>
    </w:p>
    <w:p w14:paraId="2EFDA9B7">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招标策划有误，调减项目实施内容，如何处理？</w:t>
      </w:r>
    </w:p>
    <w:p w14:paraId="1A1FEAE5">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招标清单按项计取的措施项，能否据实结算？</w:t>
      </w:r>
    </w:p>
    <w:p w14:paraId="2F8BBFE5">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招标清单措施项，无清单量，如何结算？</w:t>
      </w:r>
    </w:p>
    <w:p w14:paraId="3BB1D1D8">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招标清单漏项的专业工程暂估价费用，应该由哪一方来承担?</w:t>
      </w:r>
    </w:p>
    <w:p w14:paraId="59FD5F8E">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招标清单无品牌要求，投标按普通品牌报价，后甲方指定了品牌，如何调差价？</w:t>
      </w:r>
    </w:p>
    <w:p w14:paraId="708B89CD">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材料调价差，调差工程量，如何确定?</w:t>
      </w:r>
    </w:p>
    <w:p w14:paraId="6D6DD62E">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材料调价差的风险范围？材料价差变化幅度的计算方式？调差材料的数量计算方式？价格调整方式？调差税金计取方式？</w:t>
      </w:r>
    </w:p>
    <w:p w14:paraId="49025BFA">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低价中标部分，变更如何组价？</w:t>
      </w:r>
    </w:p>
    <w:p w14:paraId="00896350">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工程量清单存在错项、漏项，如何处理？</w:t>
      </w:r>
    </w:p>
    <w:p w14:paraId="4F2F6C00">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中标后承包人，不能以招标人或招标人委派的监理工程师对其施工组织设计，作出调整性意见，而得到另外的支付，措施费包干使用，不作调整，如何处理？</w:t>
      </w:r>
    </w:p>
    <w:p w14:paraId="67764CD9">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专业暂估价，建设单位要求承包人公开招标，承包人想进行邀请招标，如何处理？</w:t>
      </w:r>
    </w:p>
    <w:p w14:paraId="3CD86A1D">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总包合同约定勘察资料的准确性和完整性由承包人自行复核，风险由承包人承担，如何应对？</w:t>
      </w:r>
    </w:p>
    <w:p w14:paraId="48784BD8">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图纸错误导致的不平衡报价，如何结算？</w:t>
      </w:r>
    </w:p>
    <w:p w14:paraId="4BDBC320">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图纸量少于招标量，如何结算？按总价合同结算还是按实际完成的图纸结算?</w:t>
      </w:r>
    </w:p>
    <w:p w14:paraId="4A1E33EB">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图纸设计变更，场内道路和交通设施费用如何调整？</w:t>
      </w:r>
    </w:p>
    <w:p w14:paraId="4FEBD9C0">
      <w:pPr>
        <w:pStyle w:val="9"/>
        <w:keepNext w:val="0"/>
        <w:keepLines w:val="0"/>
        <w:pageBreakBefore w:val="0"/>
        <w:numPr>
          <w:ilvl w:val="0"/>
          <w:numId w:val="3"/>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图纸设计深度不够，在合同没有约定的情况下，新增的措施费应该按实计算还是按投标费率计取?</w:t>
      </w:r>
    </w:p>
    <w:p w14:paraId="33058573">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）合同签订造价问题</w:t>
      </w:r>
    </w:p>
    <w:p w14:paraId="216F790B">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要求投标人经现场踏勘后，自行考虑的费用，如何处理？</w:t>
      </w:r>
    </w:p>
    <w:p w14:paraId="3DEA4E54">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隐蔽验收资料与施工图不一致，能否据实调整？</w:t>
      </w:r>
    </w:p>
    <w:p w14:paraId="2F34EEA3">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暂估价材料分多次招标，不同次招标的中标价格差别很大，如何处理?</w:t>
      </w:r>
    </w:p>
    <w:p w14:paraId="329D4454">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增建工程尚未签订合同，双方口头约定计价依据暂参照原合同，如何处理？</w:t>
      </w:r>
    </w:p>
    <w:p w14:paraId="2A405474">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总承包服务费未发生，预算包干费，按合同建筑面积计取是否可行？</w:t>
      </w:r>
    </w:p>
    <w:p w14:paraId="398F19C6">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总价合同要考虑总价对应的范围，如何索赔？</w:t>
      </w:r>
    </w:p>
    <w:p w14:paraId="41D3E522">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对于管理费用的索赔，承包人应提供什么依据做费用核定的支撑?</w:t>
      </w:r>
    </w:p>
    <w:p w14:paraId="444326A6">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对于价款增加部分工程，应如何处理才不违规?</w:t>
      </w:r>
    </w:p>
    <w:p w14:paraId="4C9A68E6">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二次深化设计费用，如何处理？</w:t>
      </w:r>
    </w:p>
    <w:p w14:paraId="341800A4">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风险范围是否包括设计变更？</w:t>
      </w:r>
    </w:p>
    <w:p w14:paraId="0AE73AF2">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钢板桩租赁、摊销如何考虑?</w:t>
      </w:r>
    </w:p>
    <w:p w14:paraId="1CDDCBE3">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工程未完工，脚手架、垂运费、安全文明施工费，如何计取？</w:t>
      </w:r>
    </w:p>
    <w:p w14:paraId="1950D792">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经专家认证的高支模方案增加的费用是否可以按实计取?</w:t>
      </w:r>
    </w:p>
    <w:p w14:paraId="6D445EAA">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如何认定变更方案不合理或过度变更？</w:t>
      </w:r>
    </w:p>
    <w:p w14:paraId="15074CB1">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材料价格严重偏高，现场管理费严重偏高，如何处理？</w:t>
      </w:r>
    </w:p>
    <w:p w14:paraId="1C93F174">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措施费的计量单位为项，能否据实结算?</w:t>
      </w:r>
    </w:p>
    <w:p w14:paraId="7592782D">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单方提出因工程质量问题，扣减工程量的做法是否合理？</w:t>
      </w:r>
    </w:p>
    <w:p w14:paraId="4DABBEB9">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单价合同，按项包干的措施费如何调整？</w:t>
      </w:r>
    </w:p>
    <w:p w14:paraId="5F695266">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单价项目按总价处理，是否属于清单计价方式的错误，能否据实调整？</w:t>
      </w:r>
    </w:p>
    <w:p w14:paraId="7D9A4461">
      <w:pPr>
        <w:pStyle w:val="9"/>
        <w:keepNext w:val="0"/>
        <w:keepLines w:val="0"/>
        <w:pageBreakBefore w:val="0"/>
        <w:numPr>
          <w:ilvl w:val="0"/>
          <w:numId w:val="4"/>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地勘报告出现错误时，清单项目特征如何调整？</w:t>
      </w:r>
    </w:p>
    <w:p w14:paraId="7BDB8F3B">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）履约造价问题</w:t>
      </w:r>
    </w:p>
    <w:p w14:paraId="501D5E4A">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固定总价合同，后补充协议该为暂定价，金额与固定总价合同一致，结算审核能否全部按可调单价？</w:t>
      </w:r>
    </w:p>
    <w:p w14:paraId="160A7812">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固定总价合同，没有完成，如何结算？</w:t>
      </w:r>
    </w:p>
    <w:p w14:paraId="7AE0E4E3">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合价包干的加固费，能否按实结算？</w:t>
      </w:r>
    </w:p>
    <w:p w14:paraId="02F495F9">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合同范围内，措施项目漏项，报价能否自行增加？</w:t>
      </w:r>
    </w:p>
    <w:p w14:paraId="328F4310">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合同解除，塔吊退场、劳务退场、分包退场、材料设备采购合同解约等，怎么处理?定制加工，但尚未交货的材料和钢结构，如何处理？</w:t>
      </w:r>
    </w:p>
    <w:p w14:paraId="5C768309">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合同清单包干的措施费，没有发生，如何处理？</w:t>
      </w:r>
    </w:p>
    <w:p w14:paraId="1FB95837">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合同约定设计变更，措施费均不调整，如何结算？</w:t>
      </w:r>
    </w:p>
    <w:p w14:paraId="539A8CF3">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合同约定总价包干，没有招标清单，如何应对？</w:t>
      </w:r>
    </w:p>
    <w:p w14:paraId="307D4CFE">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红线外内容，如何结算？</w:t>
      </w:r>
    </w:p>
    <w:p w14:paraId="7389F0B1">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甲方供材，结算税前扣除还是税后扣除？</w:t>
      </w:r>
    </w:p>
    <w:p w14:paraId="54DA516D">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甲方原因停工，乙方能获得什么赔偿？临建措施索赔依据？</w:t>
      </w:r>
    </w:p>
    <w:p w14:paraId="5BB155FD">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甲供材结算，投标报价的辅助材料费能否扣减？</w:t>
      </w:r>
    </w:p>
    <w:p w14:paraId="3E3022E7">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甲供材扣除，是否算损耗量？</w:t>
      </w:r>
    </w:p>
    <w:p w14:paraId="561F8D35">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按项包干的措施费，能否按实调整？</w:t>
      </w:r>
    </w:p>
    <w:p w14:paraId="3D800D0B">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变更单价如何确定？是否受13清单规范之15%约束？</w:t>
      </w:r>
    </w:p>
    <w:p w14:paraId="0BC6CEA3">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标书购买、制作费、施工准备费、投标保证金、项目可预期的利润，如何索赔？</w:t>
      </w:r>
    </w:p>
    <w:p w14:paraId="17680414">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不对分包单位进行退场处理，不重新招标的情况下，建设单位在不违反主合同，材料价差如何调整？</w:t>
      </w:r>
    </w:p>
    <w:p w14:paraId="534AD64F">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不可抗力事件，如何补偿?</w:t>
      </w:r>
    </w:p>
    <w:p w14:paraId="359DDC66">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不可预见的相关费用和风险，能否包干？</w:t>
      </w:r>
    </w:p>
    <w:p w14:paraId="59254BEB">
      <w:pPr>
        <w:pStyle w:val="9"/>
        <w:keepNext w:val="0"/>
        <w:keepLines w:val="0"/>
        <w:pageBreakBefore w:val="0"/>
        <w:numPr>
          <w:ilvl w:val="0"/>
          <w:numId w:val="5"/>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工程造价中已计取综合费，能否再按照签证和施工现场情况计取临时道路费用？</w:t>
      </w:r>
    </w:p>
    <w:p w14:paraId="5EBA1B00">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）结算造价问题</w:t>
      </w:r>
    </w:p>
    <w:p w14:paraId="0E4EB2F1">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结算审核，发现漏报项，如何处理？</w:t>
      </w:r>
    </w:p>
    <w:p w14:paraId="5FED54D5">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结算审核，能否依据乙方提供的发票审减？</w:t>
      </w:r>
    </w:p>
    <w:p w14:paraId="4537EEBF">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结算审核时，审核单位对原有图纸中的工程量是否要重新计算、重新核对?</w:t>
      </w:r>
    </w:p>
    <w:p w14:paraId="1F35D66C">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结算书只有造价咨询企业的公章，没有造价人员签字和盖职业印章，是否有效?</w:t>
      </w:r>
    </w:p>
    <w:p w14:paraId="56DAC845">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工程已验收合格，实际做法与原设计做法有偏差，能否执行原投标单价？</w:t>
      </w:r>
    </w:p>
    <w:p w14:paraId="712C4537">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结算单价应在招标控制价120%内，合理吗？</w:t>
      </w:r>
    </w:p>
    <w:p w14:paraId="19F61082">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解除协议后，产生的大量的租赁费及管理费，如何结算？能否可按竣工图结算?</w:t>
      </w:r>
    </w:p>
    <w:p w14:paraId="28289A05">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据实结算，是按实际人工费和机械费做书面签证，还是按信息价调整？</w:t>
      </w:r>
    </w:p>
    <w:p w14:paraId="5515E628">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竣工资料交当地档案馆时，归档整理、图纸扫描等发生的费用，由谁承担?</w:t>
      </w:r>
    </w:p>
    <w:p w14:paraId="0E90C820">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如果增建合同签订约定为定额做依据，咨询方对于变更项单价的审核是否正确?如果可以采用原合同，单价又如何确定?</w:t>
      </w:r>
    </w:p>
    <w:p w14:paraId="600C1351">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施工组织措施费结算，怎么算才合理合法?</w:t>
      </w:r>
    </w:p>
    <w:p w14:paraId="1E9496AF">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市场材料、人工涨价，暂定合同价低于实际单方造价，如何结算？</w:t>
      </w:r>
    </w:p>
    <w:p w14:paraId="39001CDA">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受征地影响的施工降效费用，如何处理?</w:t>
      </w:r>
    </w:p>
    <w:p w14:paraId="093CDE04">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双方对材料数量的计算标准发生重大误解，如何处理？</w:t>
      </w:r>
    </w:p>
    <w:p w14:paraId="578F2590">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没有详细的招投标清单怎么结算？</w:t>
      </w:r>
    </w:p>
    <w:p w14:paraId="3AC3BE93">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没有项目特征，没有单位，投标时只报一笔费用，如何结算？</w:t>
      </w:r>
    </w:p>
    <w:p w14:paraId="3D9479D2">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没有招投标手续的部分费用，如何结算？</w:t>
      </w:r>
    </w:p>
    <w:p w14:paraId="56DBAEE8">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明沟明塘、暗沟暗塘措施费，如何结算？</w:t>
      </w:r>
    </w:p>
    <w:p w14:paraId="76A40385">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人工费市场价与定额价的差额，如何处理？</w:t>
      </w:r>
    </w:p>
    <w:p w14:paraId="422A10D5">
      <w:pPr>
        <w:pStyle w:val="9"/>
        <w:keepNext w:val="0"/>
        <w:keepLines w:val="0"/>
        <w:pageBreakBefore w:val="0"/>
        <w:numPr>
          <w:ilvl w:val="0"/>
          <w:numId w:val="6"/>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人工消耗量的不平衡报价，如何处理？</w:t>
      </w:r>
    </w:p>
    <w:p w14:paraId="785969FF">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）结算审计与财政评审</w:t>
      </w:r>
    </w:p>
    <w:p w14:paraId="434834BD">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审计方能否修改预算单价和合同总价，是否违背合同?</w:t>
      </w:r>
    </w:p>
    <w:p w14:paraId="777EB065">
      <w:pPr>
        <w:pStyle w:val="9"/>
        <w:keepNext w:val="0"/>
        <w:keepLines w:val="0"/>
        <w:pageBreakBefore w:val="0"/>
        <w:widowControl w:val="0"/>
        <w:numPr>
          <w:ilvl w:val="0"/>
          <w:numId w:val="7"/>
        </w:numPr>
        <w:kinsoku/>
        <w:wordWrap/>
        <w:overflowPunct/>
        <w:topLinePunct w:val="0"/>
        <w:autoSpaceDE/>
        <w:autoSpaceDN/>
        <w:bidi w:val="0"/>
        <w:adjustRightInd/>
        <w:snapToGrid/>
        <w:spacing w:line="300" w:lineRule="exact"/>
        <w:ind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合同约定以决算审核部门审核结果作为结算依据的，审核结果能否作为结算的依据？</w:t>
      </w:r>
    </w:p>
    <w:p w14:paraId="3BAC13BC">
      <w:pPr>
        <w:pStyle w:val="9"/>
        <w:keepNext w:val="0"/>
        <w:keepLines w:val="0"/>
        <w:pageBreakBefore w:val="0"/>
        <w:widowControl w:val="0"/>
        <w:numPr>
          <w:ilvl w:val="0"/>
          <w:numId w:val="7"/>
        </w:numPr>
        <w:kinsoku/>
        <w:wordWrap/>
        <w:overflowPunct/>
        <w:topLinePunct w:val="0"/>
        <w:autoSpaceDE/>
        <w:autoSpaceDN/>
        <w:bidi w:val="0"/>
        <w:adjustRightInd/>
        <w:snapToGrid/>
        <w:spacing w:line="300" w:lineRule="exact"/>
        <w:ind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据实发生的现场未经财评认定可否结算?</w:t>
      </w:r>
    </w:p>
    <w:p w14:paraId="4036592D">
      <w:pPr>
        <w:pStyle w:val="9"/>
        <w:keepNext w:val="0"/>
        <w:keepLines w:val="0"/>
        <w:pageBreakBefore w:val="0"/>
        <w:widowControl w:val="0"/>
        <w:numPr>
          <w:ilvl w:val="0"/>
          <w:numId w:val="7"/>
        </w:numPr>
        <w:kinsoku/>
        <w:wordWrap/>
        <w:overflowPunct/>
        <w:topLinePunct w:val="0"/>
        <w:autoSpaceDE/>
        <w:autoSpaceDN/>
        <w:bidi w:val="0"/>
        <w:adjustRightInd/>
        <w:snapToGrid/>
        <w:spacing w:line="300" w:lineRule="exact"/>
        <w:ind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政府投资项目财政评审范围外的货物、设备、软件的总包采购价格确定方式?</w:t>
      </w:r>
    </w:p>
    <w:p w14:paraId="33CE3A99">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投标时已经报的取费标准，审计能否调整?</w:t>
      </w:r>
    </w:p>
    <w:p w14:paraId="595A5055">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不平衡报价，审计能否要求重新组价？</w:t>
      </w:r>
    </w:p>
    <w:p w14:paraId="19B9A7ED">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已经过监理、建设单位签字确认的签证单，审计方认为工程量虚大，如何结算?</w:t>
      </w:r>
    </w:p>
    <w:p w14:paraId="6E64319D">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隐蔽性工程已竣工验收，审计方能否破坏性试验，扣减?</w:t>
      </w:r>
    </w:p>
    <w:p w14:paraId="10AE30EB">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暂估价，认质认价，结算审计能否推翻？</w:t>
      </w:r>
    </w:p>
    <w:p w14:paraId="32D6175F">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清单项目特征相同，报价不同，如何处理？</w:t>
      </w:r>
    </w:p>
    <w:p w14:paraId="0501E7B6">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无项目特征和具体方案的措施项目，能否按实际发生调整?</w:t>
      </w:r>
    </w:p>
    <w:p w14:paraId="21555E69">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如何主张甲方适用免责条款无效？</w:t>
      </w:r>
    </w:p>
    <w:p w14:paraId="3AFD551F">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信息价偏高，能否按市场价格进行审定？</w:t>
      </w:r>
    </w:p>
    <w:p w14:paraId="79E19CFE">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施工合同与中标合同约定的工程价款不一致时是否构成黑白合同？</w:t>
      </w:r>
    </w:p>
    <w:p w14:paraId="1683347A">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施工许可证未办理，施工方进场实施了少许前期工作，能否争取降效费？</w:t>
      </w:r>
    </w:p>
    <w:p w14:paraId="2ED56D90">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未列入暂估价的专业工程，乙方会上报远高于市场价的价格，甲方对于价格是否有权干涉?</w:t>
      </w:r>
    </w:p>
    <w:p w14:paraId="032C0B4C">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未形成工程实体的措施项目，能否按漏项处理？</w:t>
      </w:r>
    </w:p>
    <w:p w14:paraId="27BC1EE1">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严重亏损的土方开挖及外运，能否调整？</w:t>
      </w:r>
    </w:p>
    <w:p w14:paraId="4E0952BE">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未按照国家现行计量规范强制性规定计量的费用，如何处理？</w:t>
      </w:r>
    </w:p>
    <w:p w14:paraId="0EFCC49E">
      <w:pPr>
        <w:pStyle w:val="9"/>
        <w:keepNext w:val="0"/>
        <w:keepLines w:val="0"/>
        <w:pageBreakBefore w:val="0"/>
        <w:numPr>
          <w:ilvl w:val="0"/>
          <w:numId w:val="7"/>
        </w:numPr>
        <w:kinsoku/>
        <w:wordWrap/>
        <w:overflowPunct/>
        <w:topLinePunct w:val="0"/>
        <w:autoSpaceDE/>
        <w:autoSpaceDN/>
        <w:bidi w:val="0"/>
        <w:adjustRightInd/>
        <w:snapToGrid/>
        <w:spacing w:line="30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第三方清标后出的价格能否作为结算依据？</w:t>
      </w:r>
    </w:p>
    <w:p w14:paraId="2943A522">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二、培训对象</w:t>
      </w:r>
    </w:p>
    <w:p w14:paraId="0FB8454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48AE9D9E">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ascii="仿宋" w:hAnsi="仿宋" w:eastAsia="仿宋" w:cs="仿宋"/>
          <w:b/>
          <w:bCs/>
          <w:sz w:val="24"/>
        </w:rPr>
      </w:pPr>
      <w:r>
        <w:rPr>
          <w:rFonts w:hint="eastAsia" w:ascii="仿宋" w:hAnsi="仿宋" w:eastAsia="仿宋" w:cs="仿宋"/>
          <w:b/>
          <w:bCs/>
          <w:sz w:val="24"/>
        </w:rPr>
        <w:t>时间、地点</w:t>
      </w:r>
    </w:p>
    <w:p w14:paraId="7657870B">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2025年01月16日-01月18日 （16日全天报到）    天津市</w:t>
      </w:r>
    </w:p>
    <w:p w14:paraId="32F9EB07">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2025年01月22日-01月24日 （22日全天报到）    北京市</w:t>
      </w:r>
    </w:p>
    <w:p w14:paraId="2973E497">
      <w:pPr>
        <w:keepNext w:val="0"/>
        <w:keepLines w:val="0"/>
        <w:pageBreakBefore w:val="0"/>
        <w:widowControl w:val="0"/>
        <w:numPr>
          <w:ilvl w:val="0"/>
          <w:numId w:val="8"/>
        </w:numPr>
        <w:kinsoku/>
        <w:wordWrap/>
        <w:overflowPunct/>
        <w:topLinePunct w:val="0"/>
        <w:autoSpaceDE/>
        <w:autoSpaceDN/>
        <w:bidi w:val="0"/>
        <w:adjustRightInd/>
        <w:snapToGrid/>
        <w:spacing w:line="300" w:lineRule="exact"/>
        <w:textAlignment w:val="auto"/>
        <w:rPr>
          <w:rFonts w:ascii="仿宋" w:hAnsi="仿宋" w:eastAsia="仿宋" w:cs="仿宋"/>
          <w:b/>
          <w:bCs/>
          <w:sz w:val="24"/>
        </w:rPr>
      </w:pPr>
      <w:r>
        <w:rPr>
          <w:rFonts w:hint="eastAsia" w:ascii="仿宋" w:hAnsi="仿宋" w:eastAsia="仿宋" w:cs="仿宋"/>
          <w:b/>
          <w:bCs/>
          <w:sz w:val="24"/>
        </w:rPr>
        <w:t>相关费用</w:t>
      </w:r>
    </w:p>
    <w:p w14:paraId="3498FCD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A.3280元/人（含专家费、资料费、电子课件、场地、会议期间午餐），住宿统一安排，费用自理。</w:t>
      </w:r>
    </w:p>
    <w:p w14:paraId="342D36C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B.5680元/人（含全过程工程咨询师(高级、中级)证书及网上学习3天专业课程、资料费、电子课件、会议期间午餐），住宿统一安排，费用自理。</w:t>
      </w:r>
    </w:p>
    <w:p w14:paraId="1119AA8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C.4800元/人（含全过程工程咨询师(高级、中级)证书及网上学习3天课程）。</w:t>
      </w:r>
    </w:p>
    <w:p w14:paraId="23E8709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备注：申报证书需提供报名表一份、2寸照电子照片（蓝底免冠彩照）、身份证复印件一份、学历证书复印件一份，在职单位证明（原件）一份，审核通过后出准考证，每个月最后一个周末为网上考试时间。</w:t>
      </w:r>
    </w:p>
    <w:p w14:paraId="7F23894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颁证机构：</w:t>
      </w:r>
    </w:p>
    <w:p w14:paraId="2B3DC16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 w:hAnsi="仿宋" w:eastAsia="仿宋" w:cs="仿宋"/>
          <w:sz w:val="24"/>
        </w:rPr>
      </w:pPr>
      <w:r>
        <w:rPr>
          <w:rFonts w:hint="eastAsia" w:ascii="仿宋" w:hAnsi="仿宋" w:eastAsia="仿宋" w:cs="仿宋"/>
          <w:kern w:val="0"/>
          <w:sz w:val="24"/>
        </w:rPr>
        <w:t>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14:paraId="220EA1E2">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bCs/>
          <w:sz w:val="24"/>
        </w:rPr>
        <w:t>五、联系方式</w:t>
      </w:r>
    </w:p>
    <w:p w14:paraId="0D5E7C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报名负责人：聂红军 主任18211071700（微信）   </w:t>
      </w:r>
    </w:p>
    <w:p w14:paraId="0F92595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电    话：13141289128        邮    箱：zqgphwz@126.com  </w:t>
      </w:r>
    </w:p>
    <w:p w14:paraId="610D5F8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qq咨询：3177524020          网    址：http://www.zqgpchina.cn</w:t>
      </w:r>
      <w:r>
        <w:rPr>
          <w:rFonts w:hint="eastAsia" w:ascii="仿宋" w:hAnsi="仿宋" w:eastAsia="仿宋" w:cs="仿宋"/>
          <w:kern w:val="0"/>
          <w:sz w:val="24"/>
        </w:rPr>
        <w:drawing>
          <wp:anchor distT="0" distB="0" distL="114300" distR="114300" simplePos="0" relativeHeight="251660288" behindDoc="1" locked="0" layoutInCell="1" allowOverlap="1">
            <wp:simplePos x="0" y="0"/>
            <wp:positionH relativeFrom="column">
              <wp:posOffset>3493770</wp:posOffset>
            </wp:positionH>
            <wp:positionV relativeFrom="paragraph">
              <wp:posOffset>10795</wp:posOffset>
            </wp:positionV>
            <wp:extent cx="2679700" cy="1905000"/>
            <wp:effectExtent l="0" t="0" r="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4" cstate="print"/>
                    <a:stretch>
                      <a:fillRect/>
                    </a:stretch>
                  </pic:blipFill>
                  <pic:spPr>
                    <a:xfrm>
                      <a:off x="0" y="0"/>
                      <a:ext cx="2679700" cy="1905000"/>
                    </a:xfrm>
                    <a:prstGeom prst="rect">
                      <a:avLst/>
                    </a:prstGeom>
                    <a:noFill/>
                    <a:ln>
                      <a:noFill/>
                    </a:ln>
                  </pic:spPr>
                </pic:pic>
              </a:graphicData>
            </a:graphic>
          </wp:anchor>
        </w:drawing>
      </w:r>
    </w:p>
    <w:p w14:paraId="4C791331">
      <w:pPr>
        <w:ind w:firstLine="480" w:firstLineChars="200"/>
        <w:rPr>
          <w:rFonts w:ascii="仿宋" w:hAnsi="仿宋" w:eastAsia="仿宋" w:cs="仿宋"/>
          <w:kern w:val="0"/>
          <w:sz w:val="24"/>
        </w:rPr>
      </w:pPr>
    </w:p>
    <w:p w14:paraId="54074B7B">
      <w:pPr>
        <w:ind w:firstLine="480" w:firstLineChars="200"/>
        <w:rPr>
          <w:rFonts w:ascii="仿宋" w:hAnsi="仿宋" w:eastAsia="仿宋" w:cs="仿宋"/>
          <w:kern w:val="0"/>
          <w:sz w:val="24"/>
        </w:rPr>
      </w:pPr>
    </w:p>
    <w:p w14:paraId="77D0A53D">
      <w:pPr>
        <w:jc w:val="right"/>
      </w:pPr>
      <w:r>
        <w:rPr>
          <w:rFonts w:hint="eastAsia" w:ascii="仿宋" w:hAnsi="仿宋" w:eastAsia="仿宋" w:cs="仿宋"/>
          <w:kern w:val="0"/>
          <w:sz w:val="24"/>
        </w:rPr>
        <w:t>北京建术信息科技研究院有限公司</w:t>
      </w:r>
    </w:p>
    <w:p w14:paraId="58C8FD46">
      <w:pPr>
        <w:ind w:right="480"/>
        <w:jc w:val="center"/>
        <w:rPr>
          <w:rFonts w:ascii="仿宋" w:hAnsi="仿宋" w:eastAsia="仿宋" w:cs="仿宋"/>
          <w:kern w:val="0"/>
          <w:sz w:val="24"/>
        </w:rPr>
      </w:pPr>
      <w:r>
        <w:rPr>
          <w:rFonts w:hint="eastAsia" w:ascii="仿宋" w:hAnsi="仿宋" w:eastAsia="仿宋" w:cs="仿宋"/>
          <w:kern w:val="0"/>
          <w:sz w:val="24"/>
        </w:rPr>
        <w:t xml:space="preserve">                                                2024年1</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31</w:t>
      </w:r>
      <w:r>
        <w:rPr>
          <w:rFonts w:hint="eastAsia" w:ascii="仿宋" w:hAnsi="仿宋" w:eastAsia="仿宋" w:cs="仿宋"/>
          <w:kern w:val="0"/>
          <w:sz w:val="24"/>
        </w:rPr>
        <w:t>日</w:t>
      </w:r>
    </w:p>
    <w:p w14:paraId="105EF229">
      <w:pPr>
        <w:rPr>
          <w:rFonts w:hint="default"/>
          <w:lang w:val="en-US" w:eastAsia="zh-CN"/>
        </w:rPr>
      </w:pPr>
    </w:p>
    <w:p w14:paraId="63B86DAC">
      <w:pPr>
        <w:rPr>
          <w:rFonts w:hint="default"/>
          <w:lang w:val="en-US" w:eastAsia="zh-CN"/>
        </w:rPr>
      </w:pPr>
    </w:p>
    <w:p w14:paraId="6C4D45BC">
      <w:pPr>
        <w:rPr>
          <w:rFonts w:hint="default"/>
          <w:lang w:val="en-US" w:eastAsia="zh-CN"/>
        </w:rPr>
      </w:pPr>
    </w:p>
    <w:p w14:paraId="6BCB8A6E">
      <w:pPr>
        <w:rPr>
          <w:rFonts w:hint="default"/>
          <w:lang w:val="en-US" w:eastAsia="zh-CN"/>
        </w:rPr>
      </w:pPr>
    </w:p>
    <w:p w14:paraId="14B9D0D7">
      <w:pPr>
        <w:rPr>
          <w:rFonts w:hint="default"/>
          <w:lang w:val="en-US" w:eastAsia="zh-CN"/>
        </w:rPr>
      </w:pPr>
    </w:p>
    <w:p w14:paraId="3794996E">
      <w:pPr>
        <w:rPr>
          <w:rFonts w:hint="default"/>
          <w:lang w:val="en-US" w:eastAsia="zh-CN"/>
        </w:rPr>
      </w:pPr>
    </w:p>
    <w:p w14:paraId="252D9153">
      <w:pPr>
        <w:rPr>
          <w:rFonts w:hint="default"/>
          <w:lang w:val="en-US" w:eastAsia="zh-CN"/>
        </w:rPr>
      </w:pPr>
    </w:p>
    <w:p w14:paraId="28E9CC9D">
      <w:pPr>
        <w:rPr>
          <w:rFonts w:hint="default"/>
          <w:lang w:val="en-US" w:eastAsia="zh-CN"/>
        </w:rPr>
      </w:pPr>
    </w:p>
    <w:p w14:paraId="7904683B">
      <w:pPr>
        <w:rPr>
          <w:rFonts w:hint="default"/>
          <w:lang w:val="en-US" w:eastAsia="zh-CN"/>
        </w:rPr>
      </w:pPr>
    </w:p>
    <w:p w14:paraId="615CE447">
      <w:pPr>
        <w:rPr>
          <w:rFonts w:hint="eastAsia"/>
          <w:b/>
          <w:bCs/>
          <w:sz w:val="28"/>
          <w:szCs w:val="28"/>
          <w:lang w:val="en-US" w:eastAsia="zh-CN"/>
        </w:rPr>
      </w:pPr>
      <w:r>
        <w:rPr>
          <w:rFonts w:hint="eastAsia"/>
          <w:b/>
          <w:bCs/>
          <w:sz w:val="28"/>
          <w:szCs w:val="28"/>
          <w:lang w:val="en-US" w:eastAsia="zh-CN"/>
        </w:rPr>
        <w:t>附件2：</w:t>
      </w:r>
    </w:p>
    <w:p w14:paraId="0B697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sz w:val="28"/>
          <w:szCs w:val="28"/>
          <w:lang w:val="en-US" w:eastAsia="zh-CN"/>
        </w:rPr>
      </w:pPr>
      <w:r>
        <w:rPr>
          <w:rStyle w:val="7"/>
          <w:rFonts w:hint="eastAsia" w:ascii="仿宋" w:hAnsi="仿宋" w:eastAsia="仿宋" w:cs="仿宋"/>
          <w:color w:val="auto"/>
          <w:kern w:val="2"/>
          <w:sz w:val="28"/>
          <w:szCs w:val="28"/>
          <w:shd w:val="clear" w:color="auto" w:fill="FFFFFF"/>
          <w:lang w:val="en-US" w:eastAsia="zh-CN"/>
        </w:rPr>
        <w:t>新</w:t>
      </w:r>
      <w:r>
        <w:rPr>
          <w:rStyle w:val="7"/>
          <w:rFonts w:hint="eastAsia" w:ascii="仿宋" w:hAnsi="仿宋" w:eastAsia="仿宋" w:cs="仿宋"/>
          <w:color w:val="auto"/>
          <w:kern w:val="2"/>
          <w:sz w:val="28"/>
          <w:szCs w:val="28"/>
          <w:shd w:val="clear" w:color="auto" w:fill="FFFFFF"/>
        </w:rPr>
        <w:t>版《建设工程工程量清单计价标准》</w:t>
      </w:r>
      <w:r>
        <w:rPr>
          <w:rStyle w:val="7"/>
          <w:rFonts w:hint="eastAsia" w:ascii="仿宋" w:hAnsi="仿宋" w:eastAsia="仿宋" w:cs="仿宋"/>
          <w:color w:val="auto"/>
          <w:kern w:val="2"/>
          <w:sz w:val="28"/>
          <w:szCs w:val="28"/>
          <w:shd w:val="clear" w:color="auto" w:fill="FFFFFF"/>
          <w:lang w:eastAsia="zh-CN"/>
        </w:rPr>
        <w:t>（</w:t>
      </w:r>
      <w:r>
        <w:rPr>
          <w:rStyle w:val="7"/>
          <w:rFonts w:hint="eastAsia" w:ascii="仿宋" w:hAnsi="仿宋" w:eastAsia="仿宋" w:cs="仿宋"/>
          <w:color w:val="auto"/>
          <w:kern w:val="2"/>
          <w:sz w:val="28"/>
          <w:szCs w:val="28"/>
          <w:shd w:val="clear" w:color="auto" w:fill="FFFFFF"/>
        </w:rPr>
        <w:t>GB/T50500-2024）释义运用</w:t>
      </w:r>
      <w:r>
        <w:rPr>
          <w:rStyle w:val="7"/>
          <w:rFonts w:hint="eastAsia" w:ascii="仿宋" w:hAnsi="仿宋" w:eastAsia="仿宋" w:cs="仿宋"/>
          <w:color w:val="auto"/>
          <w:kern w:val="2"/>
          <w:sz w:val="28"/>
          <w:szCs w:val="28"/>
          <w:shd w:val="clear" w:color="auto" w:fill="FFFFFF"/>
          <w:lang w:eastAsia="zh-CN"/>
        </w:rPr>
        <w:t>、</w:t>
      </w:r>
      <w:r>
        <w:rPr>
          <w:rStyle w:val="7"/>
          <w:rFonts w:hint="eastAsia" w:ascii="仿宋" w:hAnsi="仿宋" w:eastAsia="仿宋" w:cs="仿宋"/>
          <w:color w:val="auto"/>
          <w:kern w:val="2"/>
          <w:sz w:val="28"/>
          <w:szCs w:val="28"/>
          <w:shd w:val="clear" w:color="auto" w:fill="FFFFFF"/>
        </w:rPr>
        <w:t>政府投资项目全过程造价管控</w:t>
      </w:r>
      <w:r>
        <w:rPr>
          <w:rStyle w:val="7"/>
          <w:rFonts w:hint="eastAsia" w:ascii="仿宋" w:hAnsi="仿宋" w:eastAsia="仿宋" w:cs="仿宋"/>
          <w:color w:val="auto"/>
          <w:kern w:val="2"/>
          <w:sz w:val="28"/>
          <w:szCs w:val="28"/>
          <w:shd w:val="clear" w:color="auto" w:fill="FFFFFF"/>
          <w:lang w:val="en-US" w:eastAsia="zh-CN"/>
        </w:rPr>
        <w:t>与</w:t>
      </w:r>
      <w:r>
        <w:rPr>
          <w:rStyle w:val="7"/>
          <w:rFonts w:hint="eastAsia" w:ascii="仿宋" w:hAnsi="仿宋" w:eastAsia="仿宋" w:cs="仿宋"/>
          <w:color w:val="auto"/>
          <w:kern w:val="2"/>
          <w:sz w:val="28"/>
          <w:szCs w:val="28"/>
          <w:shd w:val="clear" w:color="auto" w:fill="FFFFFF"/>
        </w:rPr>
        <w:t>结算审计实务疑难点解析培训</w:t>
      </w:r>
      <w:r>
        <w:rPr>
          <w:rStyle w:val="7"/>
          <w:rFonts w:hint="eastAsia" w:ascii="仿宋" w:hAnsi="仿宋" w:eastAsia="仿宋" w:cs="仿宋"/>
          <w:color w:val="auto"/>
          <w:kern w:val="2"/>
          <w:sz w:val="28"/>
          <w:szCs w:val="28"/>
          <w:shd w:val="clear" w:color="auto" w:fill="FFFFFF"/>
          <w:lang w:val="en-US" w:eastAsia="zh-CN"/>
        </w:rPr>
        <w:t>班报名回执表</w:t>
      </w:r>
    </w:p>
    <w:tbl>
      <w:tblPr>
        <w:tblStyle w:val="5"/>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986"/>
        <w:gridCol w:w="996"/>
        <w:gridCol w:w="504"/>
        <w:gridCol w:w="948"/>
      </w:tblGrid>
      <w:tr w14:paraId="18C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201245D5">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546" w:type="dxa"/>
            <w:gridSpan w:val="4"/>
            <w:noWrap/>
            <w:vAlign w:val="center"/>
          </w:tcPr>
          <w:p w14:paraId="30178628">
            <w:pPr>
              <w:spacing w:line="360" w:lineRule="exact"/>
              <w:ind w:right="80" w:rightChars="38"/>
              <w:rPr>
                <w:rFonts w:ascii="仿宋" w:hAnsi="仿宋" w:eastAsia="仿宋" w:cs="仿宋"/>
                <w:bCs/>
                <w:sz w:val="24"/>
              </w:rPr>
            </w:pPr>
          </w:p>
        </w:tc>
        <w:tc>
          <w:tcPr>
            <w:tcW w:w="996" w:type="dxa"/>
            <w:noWrap/>
            <w:vAlign w:val="center"/>
          </w:tcPr>
          <w:p w14:paraId="66143704">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52" w:type="dxa"/>
            <w:gridSpan w:val="2"/>
            <w:noWrap/>
            <w:vAlign w:val="center"/>
          </w:tcPr>
          <w:p w14:paraId="35C381DC">
            <w:pPr>
              <w:spacing w:line="360" w:lineRule="exact"/>
              <w:ind w:left="149" w:right="80" w:rightChars="38" w:hanging="148" w:hangingChars="62"/>
              <w:rPr>
                <w:rFonts w:ascii="仿宋" w:hAnsi="仿宋" w:eastAsia="仿宋" w:cs="仿宋"/>
                <w:bCs/>
                <w:sz w:val="24"/>
              </w:rPr>
            </w:pPr>
          </w:p>
        </w:tc>
      </w:tr>
      <w:tr w14:paraId="271F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2B8BE479">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14:paraId="10E9588D">
            <w:pPr>
              <w:spacing w:line="360" w:lineRule="exact"/>
              <w:ind w:right="80" w:rightChars="38"/>
              <w:rPr>
                <w:rFonts w:ascii="仿宋" w:hAnsi="仿宋" w:eastAsia="仿宋" w:cs="仿宋"/>
                <w:bCs/>
                <w:sz w:val="24"/>
              </w:rPr>
            </w:pPr>
          </w:p>
        </w:tc>
      </w:tr>
      <w:tr w14:paraId="6344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22E9E6C6">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0" w:type="dxa"/>
            <w:gridSpan w:val="3"/>
            <w:noWrap/>
            <w:vAlign w:val="center"/>
          </w:tcPr>
          <w:p w14:paraId="747F40C3">
            <w:pPr>
              <w:spacing w:line="360" w:lineRule="exact"/>
              <w:ind w:right="80" w:rightChars="38"/>
              <w:rPr>
                <w:rFonts w:ascii="仿宋" w:hAnsi="仿宋" w:eastAsia="仿宋" w:cs="仿宋"/>
                <w:bCs/>
                <w:sz w:val="24"/>
              </w:rPr>
            </w:pPr>
          </w:p>
        </w:tc>
        <w:tc>
          <w:tcPr>
            <w:tcW w:w="1982" w:type="dxa"/>
            <w:gridSpan w:val="2"/>
            <w:noWrap/>
            <w:vAlign w:val="center"/>
          </w:tcPr>
          <w:p w14:paraId="60BB1F3B">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52" w:type="dxa"/>
            <w:gridSpan w:val="2"/>
            <w:noWrap/>
            <w:vAlign w:val="center"/>
          </w:tcPr>
          <w:p w14:paraId="4BDFB4EE">
            <w:pPr>
              <w:spacing w:line="360" w:lineRule="exact"/>
              <w:ind w:right="80" w:rightChars="38"/>
              <w:rPr>
                <w:rFonts w:ascii="仿宋" w:hAnsi="仿宋" w:eastAsia="仿宋" w:cs="仿宋"/>
                <w:bCs/>
                <w:sz w:val="24"/>
              </w:rPr>
            </w:pPr>
          </w:p>
        </w:tc>
      </w:tr>
      <w:tr w14:paraId="2FD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035A78FC">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0" w:type="dxa"/>
            <w:gridSpan w:val="3"/>
            <w:noWrap/>
            <w:vAlign w:val="center"/>
          </w:tcPr>
          <w:p w14:paraId="66B31D97">
            <w:pPr>
              <w:spacing w:line="360" w:lineRule="exact"/>
              <w:ind w:right="80" w:rightChars="38"/>
              <w:rPr>
                <w:rFonts w:ascii="仿宋" w:hAnsi="仿宋" w:eastAsia="仿宋" w:cs="仿宋"/>
                <w:bCs/>
                <w:sz w:val="24"/>
              </w:rPr>
            </w:pPr>
          </w:p>
        </w:tc>
        <w:tc>
          <w:tcPr>
            <w:tcW w:w="1982" w:type="dxa"/>
            <w:gridSpan w:val="2"/>
            <w:noWrap/>
            <w:vAlign w:val="center"/>
          </w:tcPr>
          <w:p w14:paraId="5DD1C94E">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52" w:type="dxa"/>
            <w:gridSpan w:val="2"/>
            <w:noWrap/>
            <w:vAlign w:val="center"/>
          </w:tcPr>
          <w:p w14:paraId="12D30D04">
            <w:pPr>
              <w:spacing w:line="360" w:lineRule="exact"/>
              <w:ind w:right="80" w:rightChars="38"/>
              <w:rPr>
                <w:rFonts w:ascii="仿宋" w:hAnsi="仿宋" w:eastAsia="仿宋" w:cs="仿宋"/>
                <w:bCs/>
                <w:sz w:val="24"/>
              </w:rPr>
            </w:pPr>
          </w:p>
        </w:tc>
      </w:tr>
      <w:tr w14:paraId="3862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67F6830D">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35" w:type="dxa"/>
            <w:noWrap/>
            <w:vAlign w:val="center"/>
          </w:tcPr>
          <w:p w14:paraId="0B3AA53E">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08" w:type="dxa"/>
            <w:noWrap/>
            <w:vAlign w:val="center"/>
          </w:tcPr>
          <w:p w14:paraId="7626F9C5">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7" w:type="dxa"/>
            <w:noWrap/>
            <w:vAlign w:val="center"/>
          </w:tcPr>
          <w:p w14:paraId="31A57FD3">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2" w:type="dxa"/>
            <w:gridSpan w:val="2"/>
            <w:noWrap/>
            <w:vAlign w:val="center"/>
          </w:tcPr>
          <w:p w14:paraId="49C4BD1D">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52" w:type="dxa"/>
            <w:gridSpan w:val="2"/>
            <w:noWrap/>
            <w:vAlign w:val="center"/>
          </w:tcPr>
          <w:p w14:paraId="4CE13FB8">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14:paraId="320B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0499D88">
            <w:pPr>
              <w:spacing w:line="360" w:lineRule="exact"/>
              <w:ind w:right="80" w:rightChars="38"/>
              <w:rPr>
                <w:rFonts w:ascii="仿宋" w:hAnsi="仿宋" w:eastAsia="仿宋" w:cs="仿宋"/>
                <w:bCs/>
                <w:sz w:val="24"/>
              </w:rPr>
            </w:pPr>
          </w:p>
        </w:tc>
        <w:tc>
          <w:tcPr>
            <w:tcW w:w="935" w:type="dxa"/>
            <w:noWrap/>
            <w:vAlign w:val="center"/>
          </w:tcPr>
          <w:p w14:paraId="300B964C">
            <w:pPr>
              <w:spacing w:line="360" w:lineRule="exact"/>
              <w:ind w:right="80" w:rightChars="38"/>
              <w:rPr>
                <w:rFonts w:ascii="仿宋" w:hAnsi="仿宋" w:eastAsia="仿宋" w:cs="仿宋"/>
                <w:bCs/>
                <w:sz w:val="24"/>
              </w:rPr>
            </w:pPr>
          </w:p>
        </w:tc>
        <w:tc>
          <w:tcPr>
            <w:tcW w:w="1208" w:type="dxa"/>
            <w:noWrap/>
            <w:vAlign w:val="center"/>
          </w:tcPr>
          <w:p w14:paraId="2329092C">
            <w:pPr>
              <w:spacing w:line="360" w:lineRule="exact"/>
              <w:ind w:right="80" w:rightChars="38"/>
              <w:rPr>
                <w:rFonts w:ascii="仿宋" w:hAnsi="仿宋" w:eastAsia="仿宋" w:cs="仿宋"/>
                <w:bCs/>
                <w:sz w:val="24"/>
              </w:rPr>
            </w:pPr>
          </w:p>
        </w:tc>
        <w:tc>
          <w:tcPr>
            <w:tcW w:w="1417" w:type="dxa"/>
            <w:noWrap/>
            <w:vAlign w:val="center"/>
          </w:tcPr>
          <w:p w14:paraId="0394D9A4">
            <w:pPr>
              <w:spacing w:line="360" w:lineRule="exact"/>
              <w:ind w:right="80" w:rightChars="38"/>
              <w:rPr>
                <w:rFonts w:ascii="仿宋" w:hAnsi="仿宋" w:eastAsia="仿宋" w:cs="仿宋"/>
                <w:bCs/>
                <w:sz w:val="24"/>
              </w:rPr>
            </w:pPr>
          </w:p>
        </w:tc>
        <w:tc>
          <w:tcPr>
            <w:tcW w:w="1982" w:type="dxa"/>
            <w:gridSpan w:val="2"/>
            <w:noWrap/>
            <w:vAlign w:val="center"/>
          </w:tcPr>
          <w:p w14:paraId="553D42DA">
            <w:pPr>
              <w:spacing w:line="360" w:lineRule="exact"/>
              <w:ind w:right="80" w:rightChars="38"/>
              <w:rPr>
                <w:rFonts w:ascii="仿宋" w:hAnsi="仿宋" w:eastAsia="仿宋" w:cs="仿宋"/>
                <w:bCs/>
                <w:sz w:val="24"/>
              </w:rPr>
            </w:pPr>
          </w:p>
        </w:tc>
        <w:tc>
          <w:tcPr>
            <w:tcW w:w="1452" w:type="dxa"/>
            <w:gridSpan w:val="2"/>
            <w:noWrap/>
            <w:vAlign w:val="center"/>
          </w:tcPr>
          <w:p w14:paraId="7B2899D5">
            <w:pPr>
              <w:spacing w:line="360" w:lineRule="exact"/>
              <w:ind w:right="80" w:rightChars="38"/>
              <w:rPr>
                <w:rFonts w:ascii="仿宋" w:hAnsi="仿宋" w:eastAsia="仿宋" w:cs="仿宋"/>
                <w:bCs/>
                <w:sz w:val="24"/>
              </w:rPr>
            </w:pPr>
          </w:p>
        </w:tc>
      </w:tr>
      <w:tr w14:paraId="724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699B5B4">
            <w:pPr>
              <w:spacing w:line="360" w:lineRule="exact"/>
              <w:ind w:right="80" w:rightChars="38"/>
              <w:rPr>
                <w:rFonts w:ascii="仿宋" w:hAnsi="仿宋" w:eastAsia="仿宋" w:cs="仿宋"/>
                <w:bCs/>
                <w:sz w:val="24"/>
              </w:rPr>
            </w:pPr>
          </w:p>
        </w:tc>
        <w:tc>
          <w:tcPr>
            <w:tcW w:w="935" w:type="dxa"/>
            <w:noWrap/>
            <w:vAlign w:val="center"/>
          </w:tcPr>
          <w:p w14:paraId="5962BA63">
            <w:pPr>
              <w:spacing w:line="360" w:lineRule="exact"/>
              <w:ind w:right="80" w:rightChars="38"/>
              <w:rPr>
                <w:rFonts w:ascii="仿宋" w:hAnsi="仿宋" w:eastAsia="仿宋" w:cs="仿宋"/>
                <w:bCs/>
                <w:sz w:val="24"/>
              </w:rPr>
            </w:pPr>
          </w:p>
        </w:tc>
        <w:tc>
          <w:tcPr>
            <w:tcW w:w="1208" w:type="dxa"/>
            <w:noWrap/>
            <w:vAlign w:val="center"/>
          </w:tcPr>
          <w:p w14:paraId="466B386F">
            <w:pPr>
              <w:spacing w:line="360" w:lineRule="exact"/>
              <w:ind w:right="80" w:rightChars="38"/>
              <w:rPr>
                <w:rFonts w:ascii="仿宋" w:hAnsi="仿宋" w:eastAsia="仿宋" w:cs="仿宋"/>
                <w:bCs/>
                <w:sz w:val="24"/>
              </w:rPr>
            </w:pPr>
          </w:p>
        </w:tc>
        <w:tc>
          <w:tcPr>
            <w:tcW w:w="1417" w:type="dxa"/>
            <w:noWrap/>
            <w:vAlign w:val="center"/>
          </w:tcPr>
          <w:p w14:paraId="074869CF">
            <w:pPr>
              <w:spacing w:line="360" w:lineRule="exact"/>
              <w:ind w:right="80" w:rightChars="38"/>
              <w:rPr>
                <w:rFonts w:ascii="仿宋" w:hAnsi="仿宋" w:eastAsia="仿宋" w:cs="仿宋"/>
                <w:bCs/>
                <w:sz w:val="24"/>
              </w:rPr>
            </w:pPr>
          </w:p>
        </w:tc>
        <w:tc>
          <w:tcPr>
            <w:tcW w:w="1982" w:type="dxa"/>
            <w:gridSpan w:val="2"/>
            <w:noWrap/>
            <w:vAlign w:val="center"/>
          </w:tcPr>
          <w:p w14:paraId="445730E7">
            <w:pPr>
              <w:spacing w:line="360" w:lineRule="exact"/>
              <w:ind w:right="80" w:rightChars="38"/>
              <w:rPr>
                <w:rFonts w:ascii="仿宋" w:hAnsi="仿宋" w:eastAsia="仿宋" w:cs="仿宋"/>
                <w:bCs/>
                <w:sz w:val="24"/>
              </w:rPr>
            </w:pPr>
          </w:p>
        </w:tc>
        <w:tc>
          <w:tcPr>
            <w:tcW w:w="1452" w:type="dxa"/>
            <w:gridSpan w:val="2"/>
            <w:noWrap/>
            <w:vAlign w:val="center"/>
          </w:tcPr>
          <w:p w14:paraId="6F02D2C6">
            <w:pPr>
              <w:spacing w:line="360" w:lineRule="exact"/>
              <w:ind w:right="80" w:rightChars="38"/>
              <w:rPr>
                <w:rFonts w:ascii="仿宋" w:hAnsi="仿宋" w:eastAsia="仿宋" w:cs="仿宋"/>
                <w:bCs/>
                <w:sz w:val="24"/>
              </w:rPr>
            </w:pPr>
          </w:p>
        </w:tc>
      </w:tr>
      <w:tr w14:paraId="7677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4DF3D62">
            <w:pPr>
              <w:spacing w:line="360" w:lineRule="exact"/>
              <w:ind w:right="80" w:rightChars="38"/>
              <w:rPr>
                <w:rFonts w:ascii="仿宋" w:hAnsi="仿宋" w:eastAsia="仿宋" w:cs="仿宋"/>
                <w:bCs/>
                <w:sz w:val="24"/>
              </w:rPr>
            </w:pPr>
          </w:p>
        </w:tc>
        <w:tc>
          <w:tcPr>
            <w:tcW w:w="935" w:type="dxa"/>
            <w:noWrap/>
            <w:vAlign w:val="center"/>
          </w:tcPr>
          <w:p w14:paraId="7F914385">
            <w:pPr>
              <w:spacing w:line="360" w:lineRule="exact"/>
              <w:ind w:right="80" w:rightChars="38"/>
              <w:rPr>
                <w:rFonts w:ascii="仿宋" w:hAnsi="仿宋" w:eastAsia="仿宋" w:cs="仿宋"/>
                <w:bCs/>
                <w:sz w:val="24"/>
              </w:rPr>
            </w:pPr>
          </w:p>
        </w:tc>
        <w:tc>
          <w:tcPr>
            <w:tcW w:w="1208" w:type="dxa"/>
            <w:noWrap/>
            <w:vAlign w:val="center"/>
          </w:tcPr>
          <w:p w14:paraId="795D1E22">
            <w:pPr>
              <w:spacing w:line="360" w:lineRule="exact"/>
              <w:ind w:right="80" w:rightChars="38"/>
              <w:rPr>
                <w:rFonts w:ascii="仿宋" w:hAnsi="仿宋" w:eastAsia="仿宋" w:cs="仿宋"/>
                <w:bCs/>
                <w:sz w:val="24"/>
              </w:rPr>
            </w:pPr>
          </w:p>
        </w:tc>
        <w:tc>
          <w:tcPr>
            <w:tcW w:w="1417" w:type="dxa"/>
            <w:noWrap/>
            <w:vAlign w:val="center"/>
          </w:tcPr>
          <w:p w14:paraId="3BE4E02E">
            <w:pPr>
              <w:spacing w:line="360" w:lineRule="exact"/>
              <w:ind w:right="80" w:rightChars="38"/>
              <w:rPr>
                <w:rFonts w:ascii="仿宋" w:hAnsi="仿宋" w:eastAsia="仿宋" w:cs="仿宋"/>
                <w:bCs/>
                <w:sz w:val="24"/>
              </w:rPr>
            </w:pPr>
          </w:p>
        </w:tc>
        <w:tc>
          <w:tcPr>
            <w:tcW w:w="1982" w:type="dxa"/>
            <w:gridSpan w:val="2"/>
            <w:noWrap/>
            <w:vAlign w:val="center"/>
          </w:tcPr>
          <w:p w14:paraId="3345AFAD">
            <w:pPr>
              <w:spacing w:line="360" w:lineRule="exact"/>
              <w:ind w:right="80" w:rightChars="38"/>
              <w:rPr>
                <w:rFonts w:ascii="仿宋" w:hAnsi="仿宋" w:eastAsia="仿宋" w:cs="仿宋"/>
                <w:bCs/>
                <w:sz w:val="24"/>
              </w:rPr>
            </w:pPr>
          </w:p>
        </w:tc>
        <w:tc>
          <w:tcPr>
            <w:tcW w:w="1452" w:type="dxa"/>
            <w:gridSpan w:val="2"/>
            <w:noWrap/>
            <w:vAlign w:val="center"/>
          </w:tcPr>
          <w:p w14:paraId="64B220E8">
            <w:pPr>
              <w:spacing w:line="360" w:lineRule="exact"/>
              <w:ind w:right="80" w:rightChars="38"/>
              <w:rPr>
                <w:rFonts w:ascii="仿宋" w:hAnsi="仿宋" w:eastAsia="仿宋" w:cs="仿宋"/>
                <w:bCs/>
                <w:sz w:val="24"/>
              </w:rPr>
            </w:pPr>
          </w:p>
        </w:tc>
      </w:tr>
      <w:tr w14:paraId="08F4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03F09E3">
            <w:pPr>
              <w:spacing w:line="360" w:lineRule="exact"/>
              <w:ind w:right="80" w:rightChars="38"/>
              <w:rPr>
                <w:rFonts w:ascii="仿宋" w:hAnsi="仿宋" w:eastAsia="仿宋" w:cs="仿宋"/>
                <w:bCs/>
                <w:sz w:val="24"/>
              </w:rPr>
            </w:pPr>
          </w:p>
        </w:tc>
        <w:tc>
          <w:tcPr>
            <w:tcW w:w="935" w:type="dxa"/>
            <w:noWrap/>
            <w:vAlign w:val="center"/>
          </w:tcPr>
          <w:p w14:paraId="6E2E5AA8">
            <w:pPr>
              <w:spacing w:line="360" w:lineRule="exact"/>
              <w:ind w:right="80" w:rightChars="38"/>
              <w:rPr>
                <w:rFonts w:ascii="仿宋" w:hAnsi="仿宋" w:eastAsia="仿宋" w:cs="仿宋"/>
                <w:bCs/>
                <w:sz w:val="24"/>
              </w:rPr>
            </w:pPr>
          </w:p>
        </w:tc>
        <w:tc>
          <w:tcPr>
            <w:tcW w:w="1208" w:type="dxa"/>
            <w:noWrap/>
            <w:vAlign w:val="center"/>
          </w:tcPr>
          <w:p w14:paraId="17C1E039">
            <w:pPr>
              <w:spacing w:line="360" w:lineRule="exact"/>
              <w:ind w:right="80" w:rightChars="38"/>
              <w:rPr>
                <w:rFonts w:ascii="仿宋" w:hAnsi="仿宋" w:eastAsia="仿宋" w:cs="仿宋"/>
                <w:bCs/>
                <w:sz w:val="24"/>
              </w:rPr>
            </w:pPr>
          </w:p>
        </w:tc>
        <w:tc>
          <w:tcPr>
            <w:tcW w:w="1417" w:type="dxa"/>
            <w:noWrap/>
            <w:vAlign w:val="center"/>
          </w:tcPr>
          <w:p w14:paraId="7BB74A30">
            <w:pPr>
              <w:spacing w:line="360" w:lineRule="exact"/>
              <w:ind w:right="80" w:rightChars="38"/>
              <w:rPr>
                <w:rFonts w:ascii="仿宋" w:hAnsi="仿宋" w:eastAsia="仿宋" w:cs="仿宋"/>
                <w:bCs/>
                <w:sz w:val="24"/>
              </w:rPr>
            </w:pPr>
          </w:p>
        </w:tc>
        <w:tc>
          <w:tcPr>
            <w:tcW w:w="1982" w:type="dxa"/>
            <w:gridSpan w:val="2"/>
            <w:noWrap/>
            <w:vAlign w:val="center"/>
          </w:tcPr>
          <w:p w14:paraId="476238C2">
            <w:pPr>
              <w:spacing w:line="360" w:lineRule="exact"/>
              <w:ind w:right="80" w:rightChars="38"/>
              <w:rPr>
                <w:rFonts w:ascii="仿宋" w:hAnsi="仿宋" w:eastAsia="仿宋" w:cs="仿宋"/>
                <w:bCs/>
                <w:sz w:val="24"/>
              </w:rPr>
            </w:pPr>
          </w:p>
        </w:tc>
        <w:tc>
          <w:tcPr>
            <w:tcW w:w="1452" w:type="dxa"/>
            <w:gridSpan w:val="2"/>
            <w:noWrap/>
            <w:vAlign w:val="center"/>
          </w:tcPr>
          <w:p w14:paraId="5D230543">
            <w:pPr>
              <w:spacing w:line="360" w:lineRule="exact"/>
              <w:ind w:right="80" w:rightChars="38"/>
              <w:rPr>
                <w:rFonts w:ascii="仿宋" w:hAnsi="仿宋" w:eastAsia="仿宋" w:cs="仿宋"/>
                <w:bCs/>
                <w:sz w:val="24"/>
              </w:rPr>
            </w:pPr>
          </w:p>
        </w:tc>
      </w:tr>
      <w:tr w14:paraId="443F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2EC7EEAD">
            <w:pPr>
              <w:spacing w:line="360" w:lineRule="exact"/>
              <w:ind w:right="80" w:rightChars="38"/>
              <w:rPr>
                <w:rFonts w:ascii="仿宋" w:hAnsi="仿宋" w:eastAsia="仿宋" w:cs="仿宋"/>
                <w:bCs/>
                <w:sz w:val="24"/>
              </w:rPr>
            </w:pPr>
          </w:p>
        </w:tc>
        <w:tc>
          <w:tcPr>
            <w:tcW w:w="935" w:type="dxa"/>
            <w:noWrap/>
            <w:vAlign w:val="center"/>
          </w:tcPr>
          <w:p w14:paraId="4DCDBF4E">
            <w:pPr>
              <w:spacing w:line="360" w:lineRule="exact"/>
              <w:ind w:right="80" w:rightChars="38"/>
              <w:rPr>
                <w:rFonts w:ascii="仿宋" w:hAnsi="仿宋" w:eastAsia="仿宋" w:cs="仿宋"/>
                <w:bCs/>
                <w:sz w:val="24"/>
              </w:rPr>
            </w:pPr>
          </w:p>
        </w:tc>
        <w:tc>
          <w:tcPr>
            <w:tcW w:w="1208" w:type="dxa"/>
            <w:noWrap/>
            <w:vAlign w:val="center"/>
          </w:tcPr>
          <w:p w14:paraId="09CD1826">
            <w:pPr>
              <w:spacing w:line="360" w:lineRule="exact"/>
              <w:ind w:right="80" w:rightChars="38"/>
              <w:rPr>
                <w:rFonts w:ascii="仿宋" w:hAnsi="仿宋" w:eastAsia="仿宋" w:cs="仿宋"/>
                <w:bCs/>
                <w:sz w:val="24"/>
              </w:rPr>
            </w:pPr>
          </w:p>
        </w:tc>
        <w:tc>
          <w:tcPr>
            <w:tcW w:w="1417" w:type="dxa"/>
            <w:noWrap/>
            <w:vAlign w:val="center"/>
          </w:tcPr>
          <w:p w14:paraId="3AA4E647">
            <w:pPr>
              <w:spacing w:line="360" w:lineRule="exact"/>
              <w:ind w:right="80" w:rightChars="38"/>
              <w:rPr>
                <w:rFonts w:ascii="仿宋" w:hAnsi="仿宋" w:eastAsia="仿宋" w:cs="仿宋"/>
                <w:bCs/>
                <w:sz w:val="24"/>
              </w:rPr>
            </w:pPr>
          </w:p>
        </w:tc>
        <w:tc>
          <w:tcPr>
            <w:tcW w:w="1982" w:type="dxa"/>
            <w:gridSpan w:val="2"/>
            <w:noWrap/>
            <w:vAlign w:val="center"/>
          </w:tcPr>
          <w:p w14:paraId="32837FD3">
            <w:pPr>
              <w:spacing w:line="360" w:lineRule="exact"/>
              <w:ind w:right="80" w:rightChars="38"/>
              <w:rPr>
                <w:rFonts w:ascii="仿宋" w:hAnsi="仿宋" w:eastAsia="仿宋" w:cs="仿宋"/>
                <w:bCs/>
                <w:sz w:val="24"/>
              </w:rPr>
            </w:pPr>
          </w:p>
        </w:tc>
        <w:tc>
          <w:tcPr>
            <w:tcW w:w="1452" w:type="dxa"/>
            <w:gridSpan w:val="2"/>
            <w:noWrap/>
            <w:vAlign w:val="center"/>
          </w:tcPr>
          <w:p w14:paraId="0DFE1841">
            <w:pPr>
              <w:spacing w:line="360" w:lineRule="exact"/>
              <w:ind w:right="80" w:rightChars="38"/>
              <w:rPr>
                <w:rFonts w:ascii="仿宋" w:hAnsi="仿宋" w:eastAsia="仿宋" w:cs="仿宋"/>
                <w:bCs/>
                <w:sz w:val="24"/>
              </w:rPr>
            </w:pPr>
          </w:p>
        </w:tc>
      </w:tr>
      <w:tr w14:paraId="481A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25127B7">
            <w:pPr>
              <w:spacing w:line="360" w:lineRule="exact"/>
              <w:ind w:right="80" w:rightChars="38"/>
              <w:rPr>
                <w:rFonts w:ascii="仿宋" w:hAnsi="仿宋" w:eastAsia="仿宋" w:cs="仿宋"/>
                <w:bCs/>
                <w:sz w:val="24"/>
              </w:rPr>
            </w:pPr>
          </w:p>
        </w:tc>
        <w:tc>
          <w:tcPr>
            <w:tcW w:w="935" w:type="dxa"/>
            <w:noWrap/>
            <w:vAlign w:val="center"/>
          </w:tcPr>
          <w:p w14:paraId="466E2156">
            <w:pPr>
              <w:spacing w:line="360" w:lineRule="exact"/>
              <w:ind w:right="80" w:rightChars="38"/>
              <w:rPr>
                <w:rFonts w:ascii="仿宋" w:hAnsi="仿宋" w:eastAsia="仿宋" w:cs="仿宋"/>
                <w:bCs/>
                <w:sz w:val="24"/>
              </w:rPr>
            </w:pPr>
          </w:p>
        </w:tc>
        <w:tc>
          <w:tcPr>
            <w:tcW w:w="1208" w:type="dxa"/>
            <w:noWrap/>
            <w:vAlign w:val="center"/>
          </w:tcPr>
          <w:p w14:paraId="05D687E4">
            <w:pPr>
              <w:spacing w:line="360" w:lineRule="exact"/>
              <w:ind w:right="80" w:rightChars="38"/>
              <w:rPr>
                <w:rFonts w:ascii="仿宋" w:hAnsi="仿宋" w:eastAsia="仿宋" w:cs="仿宋"/>
                <w:bCs/>
                <w:sz w:val="24"/>
              </w:rPr>
            </w:pPr>
          </w:p>
        </w:tc>
        <w:tc>
          <w:tcPr>
            <w:tcW w:w="1417" w:type="dxa"/>
            <w:noWrap/>
            <w:vAlign w:val="center"/>
          </w:tcPr>
          <w:p w14:paraId="7F4A25C8">
            <w:pPr>
              <w:spacing w:line="360" w:lineRule="exact"/>
              <w:ind w:right="80" w:rightChars="38"/>
              <w:rPr>
                <w:rFonts w:ascii="仿宋" w:hAnsi="仿宋" w:eastAsia="仿宋" w:cs="仿宋"/>
                <w:bCs/>
                <w:sz w:val="24"/>
              </w:rPr>
            </w:pPr>
          </w:p>
        </w:tc>
        <w:tc>
          <w:tcPr>
            <w:tcW w:w="1982" w:type="dxa"/>
            <w:gridSpan w:val="2"/>
            <w:noWrap/>
            <w:vAlign w:val="center"/>
          </w:tcPr>
          <w:p w14:paraId="556640D3">
            <w:pPr>
              <w:spacing w:line="360" w:lineRule="exact"/>
              <w:ind w:right="80" w:rightChars="38"/>
              <w:rPr>
                <w:rFonts w:ascii="仿宋" w:hAnsi="仿宋" w:eastAsia="仿宋" w:cs="仿宋"/>
                <w:bCs/>
                <w:sz w:val="24"/>
              </w:rPr>
            </w:pPr>
          </w:p>
        </w:tc>
        <w:tc>
          <w:tcPr>
            <w:tcW w:w="1452" w:type="dxa"/>
            <w:gridSpan w:val="2"/>
            <w:noWrap/>
            <w:vAlign w:val="center"/>
          </w:tcPr>
          <w:p w14:paraId="5279BD63">
            <w:pPr>
              <w:spacing w:line="360" w:lineRule="exact"/>
              <w:ind w:right="80" w:rightChars="38"/>
              <w:rPr>
                <w:rFonts w:ascii="仿宋" w:hAnsi="仿宋" w:eastAsia="仿宋" w:cs="仿宋"/>
                <w:bCs/>
                <w:sz w:val="24"/>
              </w:rPr>
            </w:pPr>
          </w:p>
        </w:tc>
      </w:tr>
      <w:tr w14:paraId="0A12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2AE4229E">
            <w:pPr>
              <w:spacing w:line="360" w:lineRule="exact"/>
              <w:ind w:right="80" w:rightChars="38"/>
              <w:rPr>
                <w:rFonts w:ascii="仿宋" w:hAnsi="仿宋" w:eastAsia="仿宋" w:cs="仿宋"/>
                <w:bCs/>
                <w:sz w:val="24"/>
              </w:rPr>
            </w:pPr>
          </w:p>
        </w:tc>
        <w:tc>
          <w:tcPr>
            <w:tcW w:w="935" w:type="dxa"/>
            <w:noWrap/>
            <w:vAlign w:val="center"/>
          </w:tcPr>
          <w:p w14:paraId="74F6EA38">
            <w:pPr>
              <w:spacing w:line="360" w:lineRule="exact"/>
              <w:ind w:right="80" w:rightChars="38"/>
              <w:rPr>
                <w:rFonts w:ascii="仿宋" w:hAnsi="仿宋" w:eastAsia="仿宋" w:cs="仿宋"/>
                <w:bCs/>
                <w:sz w:val="24"/>
              </w:rPr>
            </w:pPr>
          </w:p>
        </w:tc>
        <w:tc>
          <w:tcPr>
            <w:tcW w:w="1208" w:type="dxa"/>
            <w:noWrap/>
            <w:vAlign w:val="center"/>
          </w:tcPr>
          <w:p w14:paraId="0BA27950">
            <w:pPr>
              <w:spacing w:line="360" w:lineRule="exact"/>
              <w:ind w:right="80" w:rightChars="38"/>
              <w:rPr>
                <w:rFonts w:ascii="仿宋" w:hAnsi="仿宋" w:eastAsia="仿宋" w:cs="仿宋"/>
                <w:bCs/>
                <w:sz w:val="24"/>
              </w:rPr>
            </w:pPr>
          </w:p>
        </w:tc>
        <w:tc>
          <w:tcPr>
            <w:tcW w:w="1417" w:type="dxa"/>
            <w:noWrap/>
            <w:vAlign w:val="center"/>
          </w:tcPr>
          <w:p w14:paraId="7628A1F5">
            <w:pPr>
              <w:spacing w:line="360" w:lineRule="exact"/>
              <w:ind w:right="80" w:rightChars="38"/>
              <w:rPr>
                <w:rFonts w:ascii="仿宋" w:hAnsi="仿宋" w:eastAsia="仿宋" w:cs="仿宋"/>
                <w:bCs/>
                <w:sz w:val="24"/>
              </w:rPr>
            </w:pPr>
          </w:p>
        </w:tc>
        <w:tc>
          <w:tcPr>
            <w:tcW w:w="1982" w:type="dxa"/>
            <w:gridSpan w:val="2"/>
            <w:noWrap/>
            <w:vAlign w:val="center"/>
          </w:tcPr>
          <w:p w14:paraId="20374B4B">
            <w:pPr>
              <w:spacing w:line="360" w:lineRule="exact"/>
              <w:ind w:right="80" w:rightChars="38"/>
              <w:rPr>
                <w:rFonts w:ascii="仿宋" w:hAnsi="仿宋" w:eastAsia="仿宋" w:cs="仿宋"/>
                <w:bCs/>
                <w:sz w:val="24"/>
              </w:rPr>
            </w:pPr>
          </w:p>
        </w:tc>
        <w:tc>
          <w:tcPr>
            <w:tcW w:w="1452" w:type="dxa"/>
            <w:gridSpan w:val="2"/>
            <w:noWrap/>
            <w:vAlign w:val="center"/>
          </w:tcPr>
          <w:p w14:paraId="0A6DBEA0">
            <w:pPr>
              <w:spacing w:line="360" w:lineRule="exact"/>
              <w:ind w:right="80" w:rightChars="38"/>
              <w:rPr>
                <w:rFonts w:ascii="仿宋" w:hAnsi="仿宋" w:eastAsia="仿宋" w:cs="仿宋"/>
                <w:bCs/>
                <w:sz w:val="24"/>
              </w:rPr>
            </w:pPr>
          </w:p>
        </w:tc>
      </w:tr>
      <w:tr w14:paraId="186E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7E945AA5">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14:paraId="0E40AF46">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14:paraId="5DC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1541F276">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546" w:type="dxa"/>
            <w:gridSpan w:val="4"/>
            <w:noWrap/>
            <w:vAlign w:val="center"/>
          </w:tcPr>
          <w:p w14:paraId="0CC7DBD2">
            <w:pPr>
              <w:spacing w:line="360" w:lineRule="exact"/>
              <w:ind w:right="80" w:rightChars="38"/>
              <w:rPr>
                <w:rFonts w:hint="default" w:ascii="仿宋" w:hAnsi="仿宋" w:eastAsia="仿宋" w:cs="仿宋"/>
                <w:bCs/>
                <w:sz w:val="24"/>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 xml:space="preserve">天津   </w:t>
            </w: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北京 </w:t>
            </w:r>
          </w:p>
        </w:tc>
        <w:tc>
          <w:tcPr>
            <w:tcW w:w="1500" w:type="dxa"/>
            <w:gridSpan w:val="2"/>
            <w:noWrap/>
            <w:vAlign w:val="center"/>
          </w:tcPr>
          <w:p w14:paraId="566695D2">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8" w:type="dxa"/>
            <w:noWrap/>
            <w:vAlign w:val="center"/>
          </w:tcPr>
          <w:p w14:paraId="28779881">
            <w:pPr>
              <w:spacing w:line="360" w:lineRule="exact"/>
              <w:ind w:right="80" w:rightChars="38"/>
              <w:rPr>
                <w:rFonts w:ascii="仿宋" w:hAnsi="仿宋" w:eastAsia="仿宋" w:cs="仿宋"/>
                <w:bCs/>
                <w:sz w:val="24"/>
              </w:rPr>
            </w:pPr>
          </w:p>
        </w:tc>
      </w:tr>
      <w:tr w14:paraId="1172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49390838">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14:paraId="72FE739D">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14:paraId="0E56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1D38181B">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tcPr>
          <w:p w14:paraId="755154C9">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1A1C7BE7">
            <w:pPr>
              <w:ind w:right="80" w:rightChars="38"/>
              <w:rPr>
                <w:rFonts w:ascii="仿宋" w:hAnsi="仿宋" w:eastAsia="仿宋" w:cs="仿宋"/>
                <w:b/>
                <w:bCs/>
                <w:sz w:val="24"/>
              </w:rPr>
            </w:pPr>
            <w:r>
              <w:rPr>
                <w:rFonts w:hint="eastAsia" w:ascii="仿宋" w:hAnsi="仿宋" w:eastAsia="仿宋" w:cs="仿宋"/>
                <w:b/>
                <w:bCs/>
                <w:sz w:val="24"/>
              </w:rPr>
              <w:t>单 位 名 称：</w:t>
            </w:r>
          </w:p>
          <w:p w14:paraId="28B6A8C6">
            <w:pPr>
              <w:ind w:right="80" w:rightChars="38"/>
              <w:rPr>
                <w:rFonts w:ascii="仿宋" w:hAnsi="仿宋" w:eastAsia="仿宋" w:cs="仿宋"/>
                <w:b/>
                <w:bCs/>
                <w:sz w:val="24"/>
              </w:rPr>
            </w:pPr>
            <w:r>
              <w:rPr>
                <w:rFonts w:hint="eastAsia" w:ascii="仿宋" w:hAnsi="仿宋" w:eastAsia="仿宋" w:cs="仿宋"/>
                <w:b/>
                <w:bCs/>
                <w:sz w:val="24"/>
              </w:rPr>
              <w:t>税       号：</w:t>
            </w:r>
          </w:p>
          <w:p w14:paraId="1491AA55">
            <w:pPr>
              <w:ind w:right="80" w:rightChars="38"/>
              <w:rPr>
                <w:rFonts w:ascii="仿宋" w:hAnsi="仿宋" w:eastAsia="仿宋" w:cs="仿宋"/>
                <w:b/>
                <w:bCs/>
                <w:sz w:val="24"/>
              </w:rPr>
            </w:pPr>
            <w:r>
              <w:rPr>
                <w:rFonts w:hint="eastAsia" w:ascii="仿宋" w:hAnsi="仿宋" w:eastAsia="仿宋" w:cs="仿宋"/>
                <w:b/>
                <w:bCs/>
                <w:sz w:val="24"/>
              </w:rPr>
              <w:t>地址、 电话：</w:t>
            </w:r>
          </w:p>
          <w:p w14:paraId="2FA270CB">
            <w:pPr>
              <w:ind w:right="80" w:rightChars="38"/>
              <w:rPr>
                <w:rFonts w:ascii="仿宋" w:hAnsi="仿宋" w:eastAsia="仿宋" w:cs="仿宋"/>
                <w:bCs/>
                <w:sz w:val="24"/>
              </w:rPr>
            </w:pPr>
            <w:r>
              <w:rPr>
                <w:rFonts w:hint="eastAsia" w:ascii="仿宋" w:hAnsi="仿宋" w:eastAsia="仿宋" w:cs="仿宋"/>
                <w:b/>
                <w:bCs/>
                <w:sz w:val="24"/>
              </w:rPr>
              <w:t>开户行、账号：</w:t>
            </w:r>
          </w:p>
        </w:tc>
      </w:tr>
      <w:tr w14:paraId="6F79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135E4E14">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14:paraId="71B289C6">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户  名：北京建术信息科技研究院有限公司</w:t>
            </w:r>
          </w:p>
          <w:p w14:paraId="79081EA4">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开户行：中国建设银行股份有限公司北京昌平小汤山支行</w:t>
            </w:r>
          </w:p>
          <w:p w14:paraId="450ACE88">
            <w:pPr>
              <w:spacing w:line="340" w:lineRule="exact"/>
              <w:ind w:right="80" w:rightChars="38"/>
              <w:rPr>
                <w:rFonts w:ascii="仿宋" w:hAnsi="仿宋" w:eastAsia="仿宋" w:cs="仿宋"/>
                <w:bCs/>
                <w:sz w:val="24"/>
                <w:lang w:bidi="zh-CN"/>
              </w:rPr>
            </w:pPr>
            <w:r>
              <w:rPr>
                <w:rFonts w:hint="eastAsia" w:ascii="仿宋" w:hAnsi="仿宋" w:eastAsia="仿宋" w:cs="仿宋"/>
                <w:bCs/>
                <w:sz w:val="24"/>
                <w:lang w:val="ru-RU"/>
              </w:rPr>
              <w:t>账  号：1105 0110 2401 0900 0164</w:t>
            </w:r>
            <w:bookmarkStart w:id="0" w:name="_GoBack"/>
            <w:bookmarkEnd w:id="0"/>
          </w:p>
        </w:tc>
      </w:tr>
      <w:tr w14:paraId="3DBF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1ACC872C">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14:paraId="1B070429">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0BC42611">
      <w:pPr>
        <w:spacing w:line="480" w:lineRule="exact"/>
        <w:ind w:right="80" w:rightChars="38"/>
        <w:rPr>
          <w:rStyle w:val="7"/>
          <w:rFonts w:ascii="黑体" w:hAnsi="黑体" w:eastAsia="黑体" w:cs="宋体"/>
          <w:color w:val="000000"/>
          <w:lang w:val="zh-CN"/>
        </w:rPr>
      </w:pPr>
      <w:r>
        <w:rPr>
          <w:rStyle w:val="7"/>
          <w:rFonts w:hint="eastAsia" w:ascii="黑体" w:hAnsi="黑体" w:eastAsia="黑体" w:cs="宋体"/>
          <w:color w:val="000000"/>
          <w:lang w:val="zh-CN"/>
        </w:rPr>
        <w:t>注：为保证培训质量，培训班名额有限，额满为止，请确定人员后及早报名。</w:t>
      </w:r>
    </w:p>
    <w:p w14:paraId="27FDB284">
      <w:pPr>
        <w:pStyle w:val="4"/>
        <w:ind w:left="0" w:leftChars="0" w:firstLine="0" w:firstLineChars="0"/>
        <w:rPr>
          <w:rFonts w:hint="eastAsia" w:ascii="仿宋" w:hAnsi="仿宋" w:eastAsia="仿宋" w:cs="仿宋"/>
          <w:bCs/>
        </w:rPr>
      </w:pPr>
      <w:r>
        <w:rPr>
          <w:rFonts w:hint="eastAsia" w:ascii="仿宋" w:hAnsi="仿宋" w:eastAsia="仿宋" w:cs="仿宋"/>
          <w:bCs/>
        </w:rPr>
        <w:t xml:space="preserve">  报名负责人：聂红军 主任18211071700（微信）   </w:t>
      </w:r>
    </w:p>
    <w:p w14:paraId="126D4361">
      <w:pPr>
        <w:pStyle w:val="4"/>
        <w:ind w:left="0" w:leftChars="0" w:firstLine="0" w:firstLineChars="0"/>
        <w:rPr>
          <w:rFonts w:hint="eastAsia" w:ascii="仿宋" w:hAnsi="仿宋" w:eastAsia="仿宋" w:cs="仿宋"/>
          <w:bCs/>
        </w:rPr>
      </w:pPr>
      <w:r>
        <w:rPr>
          <w:rFonts w:hint="eastAsia" w:ascii="仿宋" w:hAnsi="仿宋" w:eastAsia="仿宋" w:cs="仿宋"/>
          <w:bCs/>
        </w:rPr>
        <w:t xml:space="preserve">电    话：13141289128        邮    箱：zqgphwz@126.com  </w:t>
      </w:r>
    </w:p>
    <w:p w14:paraId="62AE1FE8">
      <w:pPr>
        <w:pStyle w:val="4"/>
        <w:ind w:left="0" w:leftChars="0" w:firstLine="0" w:firstLineChars="0"/>
        <w:rPr>
          <w:rFonts w:hint="eastAsia" w:ascii="仿宋" w:hAnsi="仿宋" w:eastAsia="仿宋" w:cs="仿宋"/>
          <w:bCs/>
          <w:lang w:val="en-US" w:eastAsia="zh-CN"/>
        </w:rPr>
      </w:pPr>
      <w:r>
        <w:rPr>
          <w:rFonts w:hint="eastAsia" w:ascii="仿宋" w:hAnsi="仿宋" w:eastAsia="仿宋" w:cs="仿宋"/>
          <w:bCs/>
        </w:rPr>
        <w:t>qq咨询：3177524020          网    址：http://www.zqgpchina.cn</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4E7CC"/>
    <w:multiLevelType w:val="singleLevel"/>
    <w:tmpl w:val="A2C4E7CC"/>
    <w:lvl w:ilvl="0" w:tentative="0">
      <w:start w:val="3"/>
      <w:numFmt w:val="chineseCounting"/>
      <w:suff w:val="nothing"/>
      <w:lvlText w:val="%1、"/>
      <w:lvlJc w:val="left"/>
      <w:rPr>
        <w:rFonts w:hint="eastAsia"/>
      </w:rPr>
    </w:lvl>
  </w:abstractNum>
  <w:abstractNum w:abstractNumId="1">
    <w:nsid w:val="EF461D9C"/>
    <w:multiLevelType w:val="singleLevel"/>
    <w:tmpl w:val="EF461D9C"/>
    <w:lvl w:ilvl="0" w:tentative="0">
      <w:start w:val="1"/>
      <w:numFmt w:val="decimal"/>
      <w:lvlText w:val="%1."/>
      <w:lvlJc w:val="left"/>
      <w:pPr>
        <w:ind w:left="425" w:hanging="425"/>
      </w:pPr>
      <w:rPr>
        <w:rFonts w:hint="default"/>
      </w:rPr>
    </w:lvl>
  </w:abstractNum>
  <w:abstractNum w:abstractNumId="2">
    <w:nsid w:val="2C2253DD"/>
    <w:multiLevelType w:val="multilevel"/>
    <w:tmpl w:val="2C2253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331026"/>
    <w:multiLevelType w:val="multilevel"/>
    <w:tmpl w:val="4133102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20578D"/>
    <w:multiLevelType w:val="multilevel"/>
    <w:tmpl w:val="4B2057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E15C29"/>
    <w:multiLevelType w:val="multilevel"/>
    <w:tmpl w:val="6BE15C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811C9D"/>
    <w:multiLevelType w:val="multilevel"/>
    <w:tmpl w:val="6E811C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A85D46"/>
    <w:multiLevelType w:val="multilevel"/>
    <w:tmpl w:val="7DA85D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80F69"/>
    <w:rsid w:val="150D1A75"/>
    <w:rsid w:val="20580F69"/>
    <w:rsid w:val="5720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Times New Roman" w:hAnsi="Times New Roman" w:eastAsia="宋体" w:cs="Times New Roman"/>
    </w:r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ody Text First Indent 2"/>
    <w:basedOn w:val="2"/>
    <w:qFormat/>
    <w:uiPriority w:val="99"/>
    <w:pPr>
      <w:ind w:firstLine="420" w:firstLineChars="200"/>
    </w:pPr>
    <w:rPr>
      <w:sz w:val="24"/>
    </w:rPr>
  </w:style>
  <w:style w:type="character" w:styleId="7">
    <w:name w:val="Strong"/>
    <w:basedOn w:val="6"/>
    <w:qFormat/>
    <w:uiPriority w:val="22"/>
    <w:rPr>
      <w:rFonts w:ascii="Times New Roman" w:hAnsi="Times New Roman" w:eastAsia="宋体" w:cs="Times New Roman"/>
      <w:b/>
      <w:bCs/>
    </w:rPr>
  </w:style>
  <w:style w:type="character" w:styleId="8">
    <w:name w:val="Hyperlink"/>
    <w:basedOn w:val="6"/>
    <w:qFormat/>
    <w:uiPriority w:val="0"/>
    <w:rPr>
      <w:color w:val="0000FF"/>
      <w:u w:val="single"/>
    </w:rPr>
  </w:style>
  <w:style w:type="paragraph" w:styleId="9">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5213</Words>
  <Characters>5427</Characters>
  <Lines>0</Lines>
  <Paragraphs>0</Paragraphs>
  <TotalTime>1</TotalTime>
  <ScaleCrop>false</ScaleCrop>
  <LinksUpToDate>false</LinksUpToDate>
  <CharactersWithSpaces>5581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2024-12-31T00:10:00Z</dcterms:created>
  <dc:creator>姣 儿</dc:creator>
  <cp:lastModifiedBy>聂红军</cp:lastModifiedBy>
  <dcterms:modified xsi:type="dcterms:W3CDTF">2024-12-31T01:55:10Z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4ED7D19C04634AFDB316AB548E0EF02A_13</vt:lpwstr>
  </property>
  <property fmtid="{D5CDD505-2E9C-101B-9397-08002B2CF9AE}" pid="4" name="KSOTemplateDocerSaveRecord">
    <vt:lpwstr>eyJoZGlkIjoiZTUyMWM5NTU3NmQwMzYzZGY2NjUyMjZkNDUzMDVhNDkiLCJ1c2VySWQiOiI0OTM4MTE0ODQifQ==</vt:lpwstr>
  </property>
</Properties>
</file>