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7E4E">
      <w:pPr>
        <w:adjustRightInd w:val="0"/>
        <w:snapToGrid w:val="0"/>
        <w:jc w:val="distribute"/>
        <w:rPr>
          <w:rFonts w:hint="eastAsia" w:asciiTheme="majorEastAsia" w:hAnsiTheme="majorEastAsia" w:eastAsiaTheme="majorEastAsia" w:cstheme="majorEastAsia"/>
          <w:b/>
          <w:bCs/>
          <w:color w:val="FF0000"/>
          <w:w w:val="80"/>
          <w:sz w:val="84"/>
          <w:szCs w:val="84"/>
        </w:rPr>
      </w:pPr>
    </w:p>
    <w:p w14:paraId="0E38F85A">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6066B4CC">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71120</wp:posOffset>
                </wp:positionV>
                <wp:extent cx="5750560" cy="6350"/>
                <wp:effectExtent l="0" t="13970" r="2540" b="17780"/>
                <wp:wrapNone/>
                <wp:docPr id="1" name="直接连接符 1"/>
                <wp:cNvGraphicFramePr/>
                <a:graphic xmlns:a="http://schemas.openxmlformats.org/drawingml/2006/main">
                  <a:graphicData uri="http://schemas.microsoft.com/office/word/2010/wordprocessingShape">
                    <wps:wsp>
                      <wps:cNvCnPr/>
                      <wps:spPr>
                        <a:xfrm flipV="1">
                          <a:off x="409575" y="2267585"/>
                          <a:ext cx="5750560" cy="635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7pt;margin-top:5.6pt;height:0.5pt;width:452.8pt;z-index:251660288;mso-width-relative:page;mso-height-relative:page;" filled="f" stroked="t" coordsize="21600,21600" o:gfxdata="UEsDBAoAAAAAAIdO4kAAAAAAAAAAAAAAAAAEAAAAZHJzL1BLAwQUAAAACACHTuJA6TVNfdcAAAAI&#10;AQAADwAAAGRycy9kb3ducmV2LnhtbE1PyU7DMBC9I/EP1iBxo04i6BLi9IDKpiIhWpA4uvGQRI1n&#10;othd4OuZnuA0evOe3lLMj75TexxCy2QgHSWgkCp2LdUG3tf3V1NQIVpytmNCA98YYF6enxU2d3yg&#10;N9yvYq3EhEJuDTQx9rnWoWrQ2zDiHkm4Lx68jQKHWrvBHsTcdzpLkrH2tiVJaGyPdw1W29XOG1g8&#10;fSwXjz+14+345dXfPHxOnydszOVFmtyCiniMf2I41ZfqUEqnDe/IBdUJTq9FeboZKOFn6US2beSR&#10;ZaDLQv8fUP4CUEsDBBQAAAAIAIdO4kDKUnfhCgIAAP8DAAAOAAAAZHJzL2Uyb0RvYy54bWytU72O&#10;EzEQ7pF4B8s92U1gc2GVzRUXQoPgJH76iX+ylvwn25dNXoIXQKKDipKet+F4DMbecDqOJgUurBnP&#10;+Jv5Po+XlwejyV6EqJzt6HRSUyIsc1zZXUffv9s8WVASE1gO2lnR0aOI9HL1+NFy8K2Yud5pLgJB&#10;EBvbwXe0T8m3VRVZLwzEifPCYlC6YCChG3YVDzAgutHVrK7n1eAC98ExESOerscgPSGGcwCdlIqJ&#10;tWM3Rtg0ogahISGl2Csf6ap0K6Vg6Y2UUSSiO4pMU9mxCNrbvFerJbS7AL5X7NQCnNPCA04GlMWi&#10;d1BrSEBugvoHyigWXHQyTZgz1UikKIIspvUDbd724EXhglJHfyd6/H+w7PX+OhDFcRIosWDwwW8/&#10;ff/58cuvH59xv/32lUyzSIOPLeZe2etw8qK/DpnxQQZDpFb+Q8bIJ8iKHDr6rH7eXDSUHDs6m80v&#10;mkUzqi0OiTCMY7Bu5vgQDDPmT5vyGNUImGF8iOmlcIZko6Na2awFtLB/FRM2gal/UvKxtmTASotS&#10;kwFOpsSJQHTjkV20u3I5Oq34Rmmdr8Sw217pQPaA07HZ1Lhyiwj8V1qusobYj3klNDLpBfAXlpN0&#10;9Kibxe9Ccw9GcEq0wN+VLQSENoHS52RiaW3zBVFm90Q0iz/Kna2t48fyClX2cC5Kx6cZzoN330f7&#10;/r9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NU191wAAAAgBAAAPAAAAAAAAAAEAIAAAACIA&#10;AABkcnMvZG93bnJldi54bWxQSwECFAAUAAAACACHTuJAylJ34QoCAAD/AwAADgAAAAAAAAABACAA&#10;AAAmAQAAZHJzL2Uyb0RvYy54bWxQSwUGAAAAAAYABgBZAQAAogUAAAAA&#10;">
                <v:fill on="f" focussize="0,0"/>
                <v:stroke weight="2.25pt" color="#FF0000" joinstyle="round"/>
                <v:imagedata o:title=""/>
                <o:lock v:ext="edit" aspectratio="f"/>
              </v:line>
            </w:pict>
          </mc:Fallback>
        </mc:AlternateContent>
      </w:r>
    </w:p>
    <w:p w14:paraId="2CD4F1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关于举办EPC项目全过程精细化管理、超额利润获取与存量经济转型下的项目管理新模式应用专题培训班的通知</w:t>
      </w:r>
    </w:p>
    <w:p w14:paraId="36462E9B">
      <w:pPr>
        <w:pStyle w:val="9"/>
        <w:tabs>
          <w:tab w:val="left" w:pos="-1440"/>
        </w:tabs>
        <w:ind w:firstLine="5376" w:firstLineChars="2100"/>
        <w:jc w:val="right"/>
        <w:rPr>
          <w:rFonts w:hint="eastAsia" w:hAnsi="仿宋" w:cs="仿宋"/>
          <w:b w:val="0"/>
          <w:bCs w:val="0"/>
          <w:color w:val="000000"/>
        </w:rPr>
      </w:pPr>
      <w:r>
        <w:rPr>
          <w:rFonts w:hint="eastAsia" w:ascii="宋体" w:hAnsi="宋体" w:eastAsia="宋体" w:cs="宋体"/>
          <w:b w:val="0"/>
          <w:bCs w:val="0"/>
          <w:color w:val="000000"/>
          <w:spacing w:val="-12"/>
          <w:sz w:val="28"/>
          <w:szCs w:val="28"/>
        </w:rPr>
        <w:t>国咨协［202</w:t>
      </w:r>
      <w:r>
        <w:rPr>
          <w:rFonts w:hint="eastAsia" w:ascii="宋体" w:hAnsi="宋体" w:eastAsia="宋体" w:cs="宋体"/>
          <w:b w:val="0"/>
          <w:bCs w:val="0"/>
          <w:color w:val="000000"/>
          <w:spacing w:val="-12"/>
          <w:sz w:val="28"/>
          <w:szCs w:val="28"/>
          <w:lang w:val="en-US" w:eastAsia="zh-CN"/>
        </w:rPr>
        <w:t>5</w:t>
      </w:r>
      <w:r>
        <w:rPr>
          <w:rFonts w:hint="eastAsia" w:ascii="宋体" w:hAnsi="宋体" w:eastAsia="宋体" w:cs="宋体"/>
          <w:b w:val="0"/>
          <w:bCs w:val="0"/>
          <w:color w:val="000000"/>
          <w:spacing w:val="-12"/>
          <w:sz w:val="28"/>
          <w:szCs w:val="28"/>
        </w:rPr>
        <w:t>］</w:t>
      </w:r>
      <w:r>
        <w:rPr>
          <w:rFonts w:hint="eastAsia" w:ascii="宋体" w:hAnsi="宋体" w:eastAsia="宋体" w:cs="宋体"/>
          <w:b w:val="0"/>
          <w:bCs w:val="0"/>
          <w:color w:val="000000"/>
          <w:spacing w:val="-12"/>
          <w:sz w:val="28"/>
          <w:szCs w:val="28"/>
          <w:lang w:val="en-US" w:eastAsia="zh-CN"/>
        </w:rPr>
        <w:t>08</w:t>
      </w:r>
      <w:r>
        <w:rPr>
          <w:rFonts w:hint="eastAsia" w:ascii="宋体" w:hAnsi="宋体" w:eastAsia="宋体" w:cs="宋体"/>
          <w:b w:val="0"/>
          <w:bCs w:val="0"/>
          <w:color w:val="000000"/>
          <w:spacing w:val="-12"/>
          <w:sz w:val="28"/>
          <w:szCs w:val="28"/>
        </w:rPr>
        <w:t>号</w:t>
      </w:r>
    </w:p>
    <w:p w14:paraId="3528CB2C">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657B0FD4">
      <w:pPr>
        <w:keepNext w:val="0"/>
        <w:keepLines w:val="0"/>
        <w:pageBreakBefore w:val="0"/>
        <w:widowControl/>
        <w:suppressLineNumbers w:val="0"/>
        <w:kinsoku/>
        <w:wordWrap/>
        <w:overflowPunct/>
        <w:topLinePunct w:val="0"/>
        <w:autoSpaceDE/>
        <w:autoSpaceDN/>
        <w:bidi w:val="0"/>
        <w:adjustRightInd/>
        <w:snapToGrid/>
        <w:spacing w:line="420" w:lineRule="exact"/>
        <w:ind w:firstLine="600" w:firstLineChars="200"/>
        <w:jc w:val="left"/>
        <w:textAlignment w:val="auto"/>
        <w:rPr>
          <w:rFonts w:hint="default" w:ascii="仿宋" w:hAnsi="仿宋" w:eastAsia="宋体"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在当今复杂多变的经济环境下，工程项目管理正面临着前所未有的挑战与机遇。随着经济从增量扩张逐步向存量优化转型，传统的项目管理模式已难以满足企业对效率、效益和可持续发展的需求。EPC模式作为一种集成化的项目交付方式，被广泛应用于各类工程项目中。然而，如何在EPC项目中实现全过程精细化管理，确保超额利润价值落地，并在存量经济时代探索出适应新形势的项目管理新模式，已成为行业亟待解决的关键问题。2025年面对大规模新建项目减少，城市更新、产业升级、低碳改造等存量市场成为主战场，EPC项目需从“规模驱动”转向“价值驱动”。住建部2024版清单计价标准强化全过程造价管控，倒逼企业提升精细化水平。</w:t>
      </w:r>
    </w:p>
    <w:p w14:paraId="27B40E8A">
      <w:pPr>
        <w:keepNext w:val="0"/>
        <w:keepLines w:val="0"/>
        <w:pageBreakBefore w:val="0"/>
        <w:widowControl/>
        <w:suppressLineNumbers w:val="0"/>
        <w:kinsoku/>
        <w:wordWrap/>
        <w:overflowPunct/>
        <w:topLinePunct w:val="0"/>
        <w:autoSpaceDE/>
        <w:autoSpaceDN/>
        <w:bidi w:val="0"/>
        <w:adjustRightInd/>
        <w:snapToGrid/>
        <w:spacing w:line="420" w:lineRule="exact"/>
        <w:ind w:firstLine="600" w:firstLineChars="200"/>
        <w:jc w:val="left"/>
        <w:textAlignment w:val="auto"/>
        <w:rPr>
          <w:rFonts w:hint="eastAsia"/>
          <w:lang w:val="en-US" w:eastAsia="zh-CN"/>
        </w:rPr>
      </w:pPr>
      <w:r>
        <w:rPr>
          <w:rFonts w:hint="eastAsia" w:ascii="仿宋" w:hAnsi="仿宋" w:eastAsia="仿宋" w:cs="仿宋"/>
          <w:color w:val="000000"/>
          <w:spacing w:val="10"/>
          <w:kern w:val="2"/>
          <w:sz w:val="28"/>
          <w:szCs w:val="28"/>
          <w:shd w:val="clear" w:color="auto" w:fill="auto"/>
          <w:lang w:val="en-US" w:eastAsia="zh-CN" w:bidi="ar-SA"/>
        </w:rPr>
        <w:t>为帮助各相关单位深入探讨EPC项目全过程精细化管理的理念与实践，分析如何在存量经济转型的背景下，通过创新的项目管理模式实现价值的落地。我单位决定举办“EPC项目全过程精细化管理、超额利润获取与存量经济转型下的项目管理新模式应用专题培训班”，将邀请行业内的专家学者及成功实践者，分享最新的管理工具、方法与案例，提升项目管理的专业能力。</w:t>
      </w:r>
      <w:r>
        <w:rPr>
          <w:rFonts w:hint="eastAsia" w:ascii="仿宋" w:hAnsi="仿宋" w:eastAsia="仿宋" w:cs="仿宋"/>
          <w:color w:val="000000"/>
          <w:sz w:val="28"/>
          <w:szCs w:val="28"/>
          <w:lang w:val="en-US" w:eastAsia="zh-CN"/>
        </w:rPr>
        <w:t>本次培训班由中国国际工程咨询协会主办、北京利思</w:t>
      </w:r>
      <w:r>
        <w:rPr>
          <w:rFonts w:hint="eastAsia" w:ascii="仿宋" w:hAnsi="仿宋" w:eastAsia="仿宋" w:cs="宋体"/>
          <w:b w:val="0"/>
          <w:bCs w:val="0"/>
          <w:color w:val="000000"/>
          <w:kern w:val="0"/>
          <w:sz w:val="28"/>
          <w:szCs w:val="28"/>
          <w:lang w:val="en-US" w:eastAsia="zh-CN" w:bidi="ar-SA"/>
        </w:rPr>
        <w:t>教育咨询有限公司</w:t>
      </w:r>
      <w:r>
        <w:rPr>
          <w:rFonts w:hint="eastAsia" w:ascii="仿宋" w:hAnsi="仿宋" w:eastAsia="仿宋" w:cs="仿宋"/>
          <w:color w:val="000000"/>
          <w:kern w:val="2"/>
          <w:sz w:val="28"/>
          <w:szCs w:val="28"/>
        </w:rPr>
        <w:t>具体承办，请各单位积极组织相关人员参加。现将有关事项通知如下：</w:t>
      </w:r>
    </w:p>
    <w:p w14:paraId="2FD3ADAC">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一、培训内容</w:t>
      </w:r>
    </w:p>
    <w:p w14:paraId="76CDE1FF">
      <w:pPr>
        <w:keepNext w:val="0"/>
        <w:keepLines w:val="0"/>
        <w:pageBreakBefore w:val="0"/>
        <w:widowControl/>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第一部分：基于市场化改革背景下的《24清单标准》解读</w:t>
      </w:r>
    </w:p>
    <w:p w14:paraId="27D8E22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（一）《建设工程工程量清单计价标准》(2024版)解读</w:t>
      </w:r>
    </w:p>
    <w:p w14:paraId="52244F6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1.《建设工程工程量清单计价标准》(2024版)制定的形式与背景；</w:t>
      </w:r>
    </w:p>
    <w:p w14:paraId="6569D33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2.《建设工程工程量清单计价标准》(2024版)相对《工程量清单计价规范》(2013版)主要修订内容；</w:t>
      </w:r>
    </w:p>
    <w:p w14:paraId="482BE4D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3.《建设工程工程量清单计价标准》(2024版)相对《工程量清单计价规范》(2013版)修订内容对价款精细化管理的影响；</w:t>
      </w:r>
    </w:p>
    <w:p w14:paraId="61DE4D4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4.《建设工程工程量清单计价标准》》(2024版)新清单对价款精细化管理的亮点与挑战。</w:t>
      </w:r>
    </w:p>
    <w:p w14:paraId="739883B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(二)《建设工程工程量清单计价标准》(2024版)核心修订原则及对价款精细化管理的影响</w:t>
      </w:r>
    </w:p>
    <w:p w14:paraId="21ABF4B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1.适应工程造价市场化改革趋势、与国际通行做法接轨；</w:t>
      </w:r>
    </w:p>
    <w:p w14:paraId="70EF4F66">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2.风险分担原则的改变；</w:t>
      </w:r>
    </w:p>
    <w:p w14:paraId="1492A47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3.合同价格调整事项的改变；</w:t>
      </w:r>
    </w:p>
    <w:p w14:paraId="2F3A370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4.响应38号文件，推行施工过程结算；</w:t>
      </w:r>
    </w:p>
    <w:p w14:paraId="6D6632D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5.强化投标报价说明与澄清。</w:t>
      </w:r>
    </w:p>
    <w:p w14:paraId="7E7D017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（三）基于《建设工程工程量清单计价标准》（2024版）下的价款精细化管理列项计价标准及计价过程</w:t>
      </w:r>
    </w:p>
    <w:p w14:paraId="5DA531C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1.工程量清单编制；</w:t>
      </w:r>
    </w:p>
    <w:p w14:paraId="6109892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2.最高投标限价编制；</w:t>
      </w:r>
    </w:p>
    <w:p w14:paraId="5770B9B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3.投标报价编制等；</w:t>
      </w:r>
    </w:p>
    <w:p w14:paraId="7F042FB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4.投保报价澄清或说明；</w:t>
      </w:r>
    </w:p>
    <w:p w14:paraId="75C26A1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5.合同价格调整；</w:t>
      </w:r>
    </w:p>
    <w:p w14:paraId="7FBEA64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6.合同价款期中支付；</w:t>
      </w:r>
    </w:p>
    <w:p w14:paraId="3EA3695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7.施工过程结算；</w:t>
      </w:r>
    </w:p>
    <w:p w14:paraId="260F4C20">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8.竣工结算。</w:t>
      </w:r>
    </w:p>
    <w:p w14:paraId="7CAF38D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（四）基于《建设工程工程量清单计价标准》（2024版）下的价款精细化管理清单列项明细</w:t>
      </w:r>
    </w:p>
    <w:p w14:paraId="2791022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1.分部分项工程项目清单计价表；</w:t>
      </w:r>
    </w:p>
    <w:p w14:paraId="3F7345A1">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2.措施项目清单计价表；</w:t>
      </w:r>
    </w:p>
    <w:p w14:paraId="6DBB58D6">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3.其他项目清单计价表；</w:t>
      </w:r>
    </w:p>
    <w:p w14:paraId="492C42CD">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4.增值税计价表。</w:t>
      </w:r>
    </w:p>
    <w:p w14:paraId="5F8851A4">
      <w:pPr>
        <w:keepNext w:val="0"/>
        <w:keepLines w:val="0"/>
        <w:pageBreakBefore w:val="0"/>
        <w:widowControl/>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第二部分：EPC项目全过程精细化管理</w:t>
      </w:r>
    </w:p>
    <w:p w14:paraId="75D5168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（一）项目策划：策划先行的全流程策划管理及案例；（穿插案例）</w:t>
      </w:r>
    </w:p>
    <w:p w14:paraId="27EF6162">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1.策划管理的总体要求：无策划不行动，策划PDCA动态化管理；</w:t>
      </w:r>
    </w:p>
    <w:p w14:paraId="718DD6D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2.设计管理策划：设计管理的两种模式和设计管理的核心；</w:t>
      </w:r>
    </w:p>
    <w:p w14:paraId="49A3CF3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3.商务造价招标结算策划：做大？做小？利润的分配？总价又清单怎么办？概算控制？</w:t>
      </w:r>
    </w:p>
    <w:p w14:paraId="6DA3C7D2">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4.工程建造策划：永临结合如何影响设计？现场组织的道路先行？分包的管控？</w:t>
      </w:r>
    </w:p>
    <w:p w14:paraId="1EAF23D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5.安全文明施工策划；</w:t>
      </w:r>
    </w:p>
    <w:p w14:paraId="15321E7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6.财务策划：税务筹划？现金流？</w:t>
      </w:r>
    </w:p>
    <w:p w14:paraId="16AF6C2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7.风险策划：设计风险、概算风险、合同风险、工期风险、技术风险等；</w:t>
      </w:r>
    </w:p>
    <w:p w14:paraId="78BC059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8.人才团队管理策划：人员成长？团队氛围？</w:t>
      </w:r>
    </w:p>
    <w:p w14:paraId="0F28F51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（二）项目组织：EPC项目组织管理架构及案例；（穿插案例）</w:t>
      </w:r>
    </w:p>
    <w:p w14:paraId="41CB32C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1.工程总承包的架构要求；</w:t>
      </w:r>
    </w:p>
    <w:p w14:paraId="3AE405F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2.矩阵式管理的架构要点；</w:t>
      </w:r>
    </w:p>
    <w:p w14:paraId="2B4B5DD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3.设计经理的要求：设计管理的两种模式和人员要求；</w:t>
      </w:r>
    </w:p>
    <w:p w14:paraId="0C07030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4.项目经理的要求：一把手的现实要求；</w:t>
      </w:r>
    </w:p>
    <w:p w14:paraId="7130DBA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5.建造经理的要求：如何影响设计？</w:t>
      </w:r>
    </w:p>
    <w:p w14:paraId="2C8EEDA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（三）设计管理：EPC项目设计管理及案例；（穿插案例）</w:t>
      </w:r>
    </w:p>
    <w:p w14:paraId="43A0285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1.EPC项目设计管理与单纯设计的区别：设计管理的核心是产品等；</w:t>
      </w:r>
    </w:p>
    <w:p w14:paraId="0D0BAFE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2.计管理的工作内容，流程：设计的工作范围交际范围；</w:t>
      </w:r>
    </w:p>
    <w:p w14:paraId="217DBA3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3.EPC项目设计的主导作用和特点：设计对造价进度等的作用，28原则的设计核心要义；</w:t>
      </w:r>
    </w:p>
    <w:p w14:paraId="20CB1F79">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EPC项目设计管理的组织架构及职责</w:t>
      </w:r>
      <w:r>
        <w:rPr>
          <w:rFonts w:hint="eastAsia" w:ascii="仿宋" w:hAnsi="仿宋" w:eastAsia="仿宋" w:cs="仿宋"/>
          <w:color w:val="000000"/>
          <w:spacing w:val="10"/>
          <w:kern w:val="2"/>
          <w:sz w:val="28"/>
          <w:szCs w:val="28"/>
          <w:shd w:val="clear" w:color="auto" w:fill="auto"/>
          <w:lang w:val="en-US" w:eastAsia="zh-CN" w:bidi="ar-SA"/>
        </w:rPr>
        <w:t>：设计团队内部外部的组建；</w:t>
      </w:r>
    </w:p>
    <w:p w14:paraId="2CC3AFED">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5.EPC项目设计与施工采购并行的特点：设计穿插的实施；</w:t>
      </w:r>
    </w:p>
    <w:p w14:paraId="797539C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w:t>
      </w:r>
      <w:r>
        <w:rPr>
          <w:rFonts w:hint="default" w:ascii="仿宋" w:hAnsi="仿宋" w:eastAsia="仿宋" w:cs="仿宋"/>
          <w:color w:val="000000"/>
          <w:spacing w:val="10"/>
          <w:kern w:val="2"/>
          <w:sz w:val="28"/>
          <w:szCs w:val="28"/>
          <w:shd w:val="clear" w:color="auto" w:fill="auto"/>
          <w:lang w:val="en-US" w:eastAsia="zh-CN" w:bidi="ar-SA"/>
        </w:rPr>
        <w:t>EPC项目设计质量进度深度成果管理</w:t>
      </w:r>
      <w:r>
        <w:rPr>
          <w:rFonts w:hint="eastAsia" w:ascii="仿宋" w:hAnsi="仿宋" w:eastAsia="仿宋" w:cs="仿宋"/>
          <w:color w:val="000000"/>
          <w:spacing w:val="10"/>
          <w:kern w:val="2"/>
          <w:sz w:val="28"/>
          <w:szCs w:val="28"/>
          <w:shd w:val="clear" w:color="auto" w:fill="auto"/>
          <w:lang w:val="en-US" w:eastAsia="zh-CN" w:bidi="ar-SA"/>
        </w:rPr>
        <w:t>：设计质量的控制，全员设计，审核，会审的实施；</w:t>
      </w:r>
    </w:p>
    <w:p w14:paraId="6644AE3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7.EPC工程总承包模式下的限额设计：价值工程的实施；</w:t>
      </w:r>
    </w:p>
    <w:p w14:paraId="04F91FA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8.EPC工程总承包项目实施过程中如何进行设计优化：各专业优化要点讲解；</w:t>
      </w:r>
    </w:p>
    <w:p w14:paraId="5763E800">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9.EPC项目设计与采购施工的融合集成：融合是工作流程和要求；</w:t>
      </w:r>
    </w:p>
    <w:p w14:paraId="5D0B2A7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10.</w:t>
      </w:r>
      <w:r>
        <w:rPr>
          <w:rFonts w:hint="default" w:ascii="仿宋" w:hAnsi="仿宋" w:eastAsia="仿宋" w:cs="仿宋"/>
          <w:color w:val="000000"/>
          <w:spacing w:val="10"/>
          <w:kern w:val="2"/>
          <w:sz w:val="28"/>
          <w:szCs w:val="28"/>
          <w:shd w:val="clear" w:color="auto" w:fill="auto"/>
          <w:lang w:val="en-US" w:eastAsia="zh-CN" w:bidi="ar-SA"/>
        </w:rPr>
        <w:t>设计变更管控</w:t>
      </w:r>
      <w:r>
        <w:rPr>
          <w:rFonts w:hint="eastAsia" w:ascii="仿宋" w:hAnsi="仿宋" w:eastAsia="仿宋" w:cs="仿宋"/>
          <w:color w:val="000000"/>
          <w:spacing w:val="10"/>
          <w:kern w:val="2"/>
          <w:sz w:val="28"/>
          <w:szCs w:val="28"/>
          <w:shd w:val="clear" w:color="auto" w:fill="auto"/>
          <w:lang w:val="en-US" w:eastAsia="zh-CN" w:bidi="ar-SA"/>
        </w:rPr>
        <w:t>：如何进行变更风险的管控，变更的分类对造价的影响等；</w:t>
      </w:r>
    </w:p>
    <w:p w14:paraId="7C8AE4A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11.</w:t>
      </w:r>
      <w:r>
        <w:rPr>
          <w:rFonts w:hint="default" w:ascii="仿宋" w:hAnsi="仿宋" w:eastAsia="仿宋" w:cs="仿宋"/>
          <w:color w:val="000000"/>
          <w:spacing w:val="10"/>
          <w:kern w:val="2"/>
          <w:sz w:val="28"/>
          <w:szCs w:val="28"/>
          <w:shd w:val="clear" w:color="auto" w:fill="auto"/>
          <w:lang w:val="en-US" w:eastAsia="zh-CN" w:bidi="ar-SA"/>
        </w:rPr>
        <w:t>EPC工程总承包模式下的设计产品化思维</w:t>
      </w:r>
      <w:r>
        <w:rPr>
          <w:rFonts w:hint="eastAsia" w:ascii="仿宋" w:hAnsi="仿宋" w:eastAsia="仿宋" w:cs="仿宋"/>
          <w:color w:val="000000"/>
          <w:spacing w:val="10"/>
          <w:kern w:val="2"/>
          <w:sz w:val="28"/>
          <w:szCs w:val="28"/>
          <w:shd w:val="clear" w:color="auto" w:fill="auto"/>
          <w:lang w:val="en-US" w:eastAsia="zh-CN" w:bidi="ar-SA"/>
        </w:rPr>
        <w:t>：最新产品及项目案例；</w:t>
      </w:r>
    </w:p>
    <w:p w14:paraId="4589F42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12.设计施工的联合体管控：联合体的界面和沟通机制及法律风险。</w:t>
      </w:r>
    </w:p>
    <w:p w14:paraId="1107CC6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（四）项目招采：EPC项目招采管理及案例；（穿插案例）</w:t>
      </w:r>
    </w:p>
    <w:p w14:paraId="515A4E3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1.采购的核心价值：大采购小采购对企业和项目的意义；</w:t>
      </w:r>
    </w:p>
    <w:p w14:paraId="4703CE3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2.EPC采购穿插要点：平行到立体作战的项目300个节点交叉的实施；</w:t>
      </w:r>
    </w:p>
    <w:p w14:paraId="3A79C91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3.采购模式的管理：联采、集采、战采的实施；</w:t>
      </w:r>
    </w:p>
    <w:p w14:paraId="313DA556">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4.采购的专业要求采购界面划分：工作包和采购的一图五表；</w:t>
      </w:r>
    </w:p>
    <w:p w14:paraId="1729F05D">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5.采购计划的管理：采购计划的实施和项目的进度管理。</w:t>
      </w:r>
    </w:p>
    <w:p w14:paraId="427468B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（五）项目质量安全：EPC项目招采及质量管理及案例；（穿插案例）</w:t>
      </w:r>
    </w:p>
    <w:p w14:paraId="10FCD91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1.质量管理的关键点：过程，质量事前，事后的处理；</w:t>
      </w:r>
    </w:p>
    <w:p w14:paraId="3C0C51A9">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2.设计对质量的责任：从设计端控制施工的质量；</w:t>
      </w:r>
    </w:p>
    <w:p w14:paraId="407B445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3.安全法规：全员安全管理的实施；</w:t>
      </w:r>
    </w:p>
    <w:p w14:paraId="66BEFA56">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4.安全管理的重点核心：28原则高坠等的管理；</w:t>
      </w:r>
    </w:p>
    <w:p w14:paraId="5E39723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5.安全优秀案例：最新一线城市的安全管理要求。</w:t>
      </w:r>
    </w:p>
    <w:p w14:paraId="02A91E3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（六）招投标及风险：EPC项目投标及风险防范及案例；（穿插案例）</w:t>
      </w:r>
    </w:p>
    <w:p w14:paraId="4FC8D661">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1.招投标管理前期：招投标对项目管理的意义，对造价控制，包括招投标的项目管理的模式；</w:t>
      </w:r>
    </w:p>
    <w:p w14:paraId="4F66C13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2.招投标的策略：招投标如何影响造价工期；</w:t>
      </w:r>
    </w:p>
    <w:p w14:paraId="4A6DEDD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3.投资风险；</w:t>
      </w:r>
    </w:p>
    <w:p w14:paraId="72DB068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4.合同、变更、超概算、工期、税务、结算、合作等风险。</w:t>
      </w:r>
    </w:p>
    <w:p w14:paraId="402C90E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（七）项目造价、审计结算管理的要点及案例。（穿插案例）</w:t>
      </w:r>
    </w:p>
    <w:p w14:paraId="3386E3C0">
      <w:pPr>
        <w:keepNext w:val="0"/>
        <w:keepLines w:val="0"/>
        <w:pageBreakBefore w:val="0"/>
        <w:widowControl/>
        <w:kinsoku/>
        <w:wordWrap/>
        <w:overflowPunct/>
        <w:topLinePunct w:val="0"/>
        <w:autoSpaceDE/>
        <w:autoSpaceDN/>
        <w:bidi w:val="0"/>
        <w:adjustRightInd/>
        <w:snapToGrid/>
        <w:spacing w:line="420" w:lineRule="exact"/>
        <w:ind w:firstLine="562" w:firstLineChars="200"/>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第三部分：</w:t>
      </w:r>
      <w:r>
        <w:rPr>
          <w:rFonts w:hint="default" w:ascii="仿宋" w:hAnsi="仿宋" w:eastAsia="仿宋" w:cs="仿宋"/>
          <w:b/>
          <w:bCs/>
          <w:color w:val="000000"/>
          <w:sz w:val="28"/>
          <w:szCs w:val="28"/>
          <w:lang w:val="en-US" w:eastAsia="zh-CN"/>
        </w:rPr>
        <w:t>破解设计、采购、施工协同难题，实现利润倍增</w:t>
      </w:r>
    </w:p>
    <w:p w14:paraId="52621D8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w:t>
      </w:r>
      <w:r>
        <w:rPr>
          <w:rFonts w:hint="default" w:ascii="仿宋" w:hAnsi="仿宋" w:eastAsia="仿宋" w:cs="仿宋"/>
          <w:b/>
          <w:bCs/>
          <w:color w:val="000000"/>
          <w:spacing w:val="10"/>
          <w:kern w:val="2"/>
          <w:sz w:val="28"/>
          <w:szCs w:val="28"/>
          <w:shd w:val="clear" w:color="auto" w:fill="auto"/>
          <w:lang w:val="en-US" w:eastAsia="zh-CN" w:bidi="ar-SA"/>
        </w:rPr>
        <w:t>设计、采购、施工一体化协同管理模式</w:t>
      </w:r>
    </w:p>
    <w:p w14:paraId="317A41ED">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建立协同管理的组织架构与流程</w:t>
      </w:r>
      <w:r>
        <w:rPr>
          <w:rFonts w:hint="eastAsia" w:ascii="仿宋" w:hAnsi="仿宋" w:eastAsia="仿宋" w:cs="仿宋"/>
          <w:color w:val="000000"/>
          <w:spacing w:val="10"/>
          <w:kern w:val="2"/>
          <w:sz w:val="28"/>
          <w:szCs w:val="28"/>
          <w:shd w:val="clear" w:color="auto" w:fill="auto"/>
          <w:lang w:val="en-US" w:eastAsia="zh-CN" w:bidi="ar-SA"/>
        </w:rPr>
        <w:t>；</w:t>
      </w:r>
    </w:p>
    <w:p w14:paraId="0BDB086B">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信息共享与沟通机制的建立</w:t>
      </w:r>
      <w:r>
        <w:rPr>
          <w:rFonts w:hint="eastAsia" w:ascii="仿宋" w:hAnsi="仿宋" w:eastAsia="仿宋" w:cs="仿宋"/>
          <w:color w:val="000000"/>
          <w:spacing w:val="10"/>
          <w:kern w:val="2"/>
          <w:sz w:val="28"/>
          <w:szCs w:val="28"/>
          <w:shd w:val="clear" w:color="auto" w:fill="auto"/>
          <w:lang w:val="en-US" w:eastAsia="zh-CN" w:bidi="ar-SA"/>
        </w:rPr>
        <w:t>；</w:t>
      </w:r>
    </w:p>
    <w:p w14:paraId="7535F3A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案例分析:某大型EPC项目的协同管理实践</w:t>
      </w:r>
      <w:r>
        <w:rPr>
          <w:rFonts w:hint="eastAsia" w:ascii="仿宋" w:hAnsi="仿宋" w:eastAsia="仿宋" w:cs="仿宋"/>
          <w:color w:val="000000"/>
          <w:spacing w:val="10"/>
          <w:kern w:val="2"/>
          <w:sz w:val="28"/>
          <w:szCs w:val="28"/>
          <w:shd w:val="clear" w:color="auto" w:fill="auto"/>
          <w:lang w:val="en-US" w:eastAsia="zh-CN" w:bidi="ar-SA"/>
        </w:rPr>
        <w:t>。</w:t>
      </w:r>
    </w:p>
    <w:p w14:paraId="3F1D623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default" w:ascii="仿宋" w:hAnsi="仿宋" w:eastAsia="仿宋" w:cs="仿宋"/>
          <w:b/>
          <w:bCs/>
          <w:color w:val="000000"/>
          <w:spacing w:val="10"/>
          <w:kern w:val="2"/>
          <w:sz w:val="28"/>
          <w:szCs w:val="28"/>
          <w:shd w:val="clear" w:color="auto" w:fill="auto"/>
          <w:lang w:val="en-US" w:eastAsia="zh-CN" w:bidi="ar-SA"/>
        </w:rPr>
        <w:t>设计阶段的协同与优化</w:t>
      </w:r>
    </w:p>
    <w:p w14:paraId="3AEF10C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设计与采购、施工的接口管理</w:t>
      </w:r>
      <w:r>
        <w:rPr>
          <w:rFonts w:hint="eastAsia" w:ascii="仿宋" w:hAnsi="仿宋" w:eastAsia="仿宋" w:cs="仿宋"/>
          <w:color w:val="000000"/>
          <w:spacing w:val="10"/>
          <w:kern w:val="2"/>
          <w:sz w:val="28"/>
          <w:szCs w:val="28"/>
          <w:shd w:val="clear" w:color="auto" w:fill="auto"/>
          <w:lang w:val="en-US" w:eastAsia="zh-CN" w:bidi="ar-SA"/>
        </w:rPr>
        <w:t>；</w:t>
      </w:r>
    </w:p>
    <w:p w14:paraId="1129A3FF">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可施工性设计与可采购性设计原则</w:t>
      </w:r>
      <w:r>
        <w:rPr>
          <w:rFonts w:hint="eastAsia" w:ascii="仿宋" w:hAnsi="仿宋" w:eastAsia="仿宋" w:cs="仿宋"/>
          <w:color w:val="000000"/>
          <w:spacing w:val="10"/>
          <w:kern w:val="2"/>
          <w:sz w:val="28"/>
          <w:szCs w:val="28"/>
          <w:shd w:val="clear" w:color="auto" w:fill="auto"/>
          <w:lang w:val="en-US" w:eastAsia="zh-CN" w:bidi="ar-SA"/>
        </w:rPr>
        <w:t>；</w:t>
      </w:r>
    </w:p>
    <w:p w14:paraId="412FB25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设计优化对项目成本和进度的影响</w:t>
      </w:r>
      <w:r>
        <w:rPr>
          <w:rFonts w:hint="eastAsia" w:ascii="仿宋" w:hAnsi="仿宋" w:eastAsia="仿宋" w:cs="仿宋"/>
          <w:color w:val="000000"/>
          <w:spacing w:val="10"/>
          <w:kern w:val="2"/>
          <w:sz w:val="28"/>
          <w:szCs w:val="28"/>
          <w:shd w:val="clear" w:color="auto" w:fill="auto"/>
          <w:lang w:val="en-US" w:eastAsia="zh-CN" w:bidi="ar-SA"/>
        </w:rPr>
        <w:t>；</w:t>
      </w:r>
    </w:p>
    <w:p w14:paraId="3F13630C">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案例分析:设计优化带来的显著效益</w:t>
      </w:r>
      <w:r>
        <w:rPr>
          <w:rFonts w:hint="eastAsia" w:ascii="仿宋" w:hAnsi="仿宋" w:eastAsia="仿宋" w:cs="仿宋"/>
          <w:color w:val="000000"/>
          <w:spacing w:val="10"/>
          <w:kern w:val="2"/>
          <w:sz w:val="28"/>
          <w:szCs w:val="28"/>
          <w:shd w:val="clear" w:color="auto" w:fill="auto"/>
          <w:lang w:val="en-US" w:eastAsia="zh-CN" w:bidi="ar-SA"/>
        </w:rPr>
        <w:t>。</w:t>
      </w:r>
    </w:p>
    <w:p w14:paraId="3945DC6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default" w:ascii="仿宋" w:hAnsi="仿宋" w:eastAsia="仿宋" w:cs="仿宋"/>
          <w:b/>
          <w:bCs/>
          <w:color w:val="000000"/>
          <w:spacing w:val="10"/>
          <w:kern w:val="2"/>
          <w:sz w:val="28"/>
          <w:szCs w:val="28"/>
          <w:shd w:val="clear" w:color="auto" w:fill="auto"/>
          <w:lang w:val="en-US" w:eastAsia="zh-CN" w:bidi="ar-SA"/>
        </w:rPr>
        <w:t>采购阶段的协同与创新</w:t>
      </w:r>
    </w:p>
    <w:p w14:paraId="5C560DC1">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采购与设计、施工的协同策略</w:t>
      </w:r>
      <w:r>
        <w:rPr>
          <w:rFonts w:hint="eastAsia" w:ascii="仿宋" w:hAnsi="仿宋" w:eastAsia="仿宋" w:cs="仿宋"/>
          <w:color w:val="000000"/>
          <w:spacing w:val="10"/>
          <w:kern w:val="2"/>
          <w:sz w:val="28"/>
          <w:szCs w:val="28"/>
          <w:shd w:val="clear" w:color="auto" w:fill="auto"/>
          <w:lang w:val="en-US" w:eastAsia="zh-CN" w:bidi="ar-SA"/>
        </w:rPr>
        <w:t>；</w:t>
      </w:r>
    </w:p>
    <w:p w14:paraId="5BFC40FD">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供应链管理与供应商合作模式创新</w:t>
      </w:r>
      <w:r>
        <w:rPr>
          <w:rFonts w:hint="eastAsia" w:ascii="仿宋" w:hAnsi="仿宋" w:eastAsia="仿宋" w:cs="仿宋"/>
          <w:color w:val="000000"/>
          <w:spacing w:val="10"/>
          <w:kern w:val="2"/>
          <w:sz w:val="28"/>
          <w:szCs w:val="28"/>
          <w:shd w:val="clear" w:color="auto" w:fill="auto"/>
          <w:lang w:val="en-US" w:eastAsia="zh-CN" w:bidi="ar-SA"/>
        </w:rPr>
        <w:t>；</w:t>
      </w:r>
    </w:p>
    <w:p w14:paraId="15C1A652">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采购成本控制与风险防范</w:t>
      </w:r>
      <w:r>
        <w:rPr>
          <w:rFonts w:hint="eastAsia" w:ascii="仿宋" w:hAnsi="仿宋" w:eastAsia="仿宋" w:cs="仿宋"/>
          <w:color w:val="000000"/>
          <w:spacing w:val="10"/>
          <w:kern w:val="2"/>
          <w:sz w:val="28"/>
          <w:szCs w:val="28"/>
          <w:shd w:val="clear" w:color="auto" w:fill="auto"/>
          <w:lang w:val="en-US" w:eastAsia="zh-CN" w:bidi="ar-SA"/>
        </w:rPr>
        <w:t>；</w:t>
      </w:r>
    </w:p>
    <w:p w14:paraId="570D8A7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案例分析:高效采购管理提升项目效益</w:t>
      </w:r>
      <w:r>
        <w:rPr>
          <w:rFonts w:hint="eastAsia" w:ascii="仿宋" w:hAnsi="仿宋" w:eastAsia="仿宋" w:cs="仿宋"/>
          <w:color w:val="000000"/>
          <w:spacing w:val="10"/>
          <w:kern w:val="2"/>
          <w:sz w:val="28"/>
          <w:szCs w:val="28"/>
          <w:shd w:val="clear" w:color="auto" w:fill="auto"/>
          <w:lang w:val="en-US" w:eastAsia="zh-CN" w:bidi="ar-SA"/>
        </w:rPr>
        <w:t>。</w:t>
      </w:r>
    </w:p>
    <w:p w14:paraId="74744F8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w:t>
      </w:r>
      <w:r>
        <w:rPr>
          <w:rFonts w:hint="default" w:ascii="仿宋" w:hAnsi="仿宋" w:eastAsia="仿宋" w:cs="仿宋"/>
          <w:b/>
          <w:bCs/>
          <w:color w:val="000000"/>
          <w:spacing w:val="10"/>
          <w:kern w:val="2"/>
          <w:sz w:val="28"/>
          <w:szCs w:val="28"/>
          <w:shd w:val="clear" w:color="auto" w:fill="auto"/>
          <w:lang w:val="en-US" w:eastAsia="zh-CN" w:bidi="ar-SA"/>
        </w:rPr>
        <w:t>施工阶段的协同与协调</w:t>
      </w:r>
    </w:p>
    <w:p w14:paraId="09288696">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施工与设计、采购的交又作业管理</w:t>
      </w:r>
      <w:r>
        <w:rPr>
          <w:rFonts w:hint="eastAsia" w:ascii="仿宋" w:hAnsi="仿宋" w:eastAsia="仿宋" w:cs="仿宋"/>
          <w:color w:val="000000"/>
          <w:spacing w:val="10"/>
          <w:kern w:val="2"/>
          <w:sz w:val="28"/>
          <w:szCs w:val="28"/>
          <w:shd w:val="clear" w:color="auto" w:fill="auto"/>
          <w:lang w:val="en-US" w:eastAsia="zh-CN" w:bidi="ar-SA"/>
        </w:rPr>
        <w:t>；</w:t>
      </w:r>
    </w:p>
    <w:p w14:paraId="3358380B">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施工现场的资源调配与协调</w:t>
      </w:r>
      <w:r>
        <w:rPr>
          <w:rFonts w:hint="eastAsia" w:ascii="仿宋" w:hAnsi="仿宋" w:eastAsia="仿宋" w:cs="仿宋"/>
          <w:color w:val="000000"/>
          <w:spacing w:val="10"/>
          <w:kern w:val="2"/>
          <w:sz w:val="28"/>
          <w:szCs w:val="28"/>
          <w:shd w:val="clear" w:color="auto" w:fill="auto"/>
          <w:lang w:val="en-US" w:eastAsia="zh-CN" w:bidi="ar-SA"/>
        </w:rPr>
        <w:t>；</w:t>
      </w:r>
    </w:p>
    <w:p w14:paraId="5ED60F8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施工进度、质量与安全的协同控制</w:t>
      </w:r>
      <w:r>
        <w:rPr>
          <w:rFonts w:hint="eastAsia" w:ascii="仿宋" w:hAnsi="仿宋" w:eastAsia="仿宋" w:cs="仿宋"/>
          <w:color w:val="000000"/>
          <w:spacing w:val="10"/>
          <w:kern w:val="2"/>
          <w:sz w:val="28"/>
          <w:szCs w:val="28"/>
          <w:shd w:val="clear" w:color="auto" w:fill="auto"/>
          <w:lang w:val="en-US" w:eastAsia="zh-CN" w:bidi="ar-SA"/>
        </w:rPr>
        <w:t>；</w:t>
      </w:r>
    </w:p>
    <w:p w14:paraId="4EAD3D0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案例分析:解决施工协同难题的成功经验</w:t>
      </w:r>
      <w:r>
        <w:rPr>
          <w:rFonts w:hint="eastAsia" w:ascii="仿宋" w:hAnsi="仿宋" w:eastAsia="仿宋" w:cs="仿宋"/>
          <w:color w:val="000000"/>
          <w:spacing w:val="10"/>
          <w:kern w:val="2"/>
          <w:sz w:val="28"/>
          <w:szCs w:val="28"/>
          <w:shd w:val="clear" w:color="auto" w:fill="auto"/>
          <w:lang w:val="en-US" w:eastAsia="zh-CN" w:bidi="ar-SA"/>
        </w:rPr>
        <w:t>。</w:t>
      </w:r>
    </w:p>
    <w:p w14:paraId="17BC53DA">
      <w:pPr>
        <w:keepNext w:val="0"/>
        <w:keepLines w:val="0"/>
        <w:pageBreakBefore w:val="0"/>
        <w:widowControl/>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第四部分：标杆企业案例学习与AI技术在工程中的应用场景及案例</w:t>
      </w:r>
    </w:p>
    <w:p w14:paraId="1A28CFE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（一）标杆企业EPC项目管理最佳实践案例分析</w:t>
      </w:r>
    </w:p>
    <w:p w14:paraId="26C6D81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1.国内外知名EPC企业的项目管理模式与特色；</w:t>
      </w:r>
    </w:p>
    <w:p w14:paraId="649BC4F3">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2.标杆企业在成本控制、进度管理、质量管理等方面的成功经验；</w:t>
      </w:r>
    </w:p>
    <w:p w14:paraId="29D0045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3.案例研讨:借鉴标杆企业经验，提升自身项目管理水平。</w:t>
      </w:r>
    </w:p>
    <w:p w14:paraId="17735A4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（二）AI技术在工程中的应用场景及案例</w:t>
      </w:r>
    </w:p>
    <w:p w14:paraId="500E7B1A">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1.AI设计：规划和串联设计工作流，方案生成，结构找形，生成式方案案例、数智化建模（模图量联动）、竞标文本、灵感渲染、AI成本预估、可视化分析（日照、风、采光、视野、人流等）、智能审图；</w:t>
      </w:r>
    </w:p>
    <w:p w14:paraId="69A7F82B">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2.AI生产：自动下料，标准化建设、辅助建立生产质量控制要点和标准化工艺、辅助设备预测性维护、辅助供应链优化、辅助能耗与废弃物管理；</w:t>
      </w:r>
    </w:p>
    <w:p w14:paraId="183E23A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3.AI施工：智能安全监测（人、脚手架、塔吊、支模架等）、智能施工场布、智能方案、智能标书、施工指引；</w:t>
      </w:r>
    </w:p>
    <w:p w14:paraId="795D6929">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4.AI造价管理：本地化部成本署数据库、AI成本引擎、成本分析报告、项⽬数据分析及预测、经营分析及报告、合规审计。</w:t>
      </w:r>
    </w:p>
    <w:p w14:paraId="63E72B88">
      <w:pPr>
        <w:keepNext w:val="0"/>
        <w:keepLines w:val="0"/>
        <w:pageBreakBefore w:val="0"/>
        <w:widowControl/>
        <w:kinsoku/>
        <w:wordWrap/>
        <w:overflowPunct/>
        <w:topLinePunct w:val="0"/>
        <w:autoSpaceDE/>
        <w:autoSpaceDN/>
        <w:bidi w:val="0"/>
        <w:adjustRightInd/>
        <w:snapToGrid/>
        <w:spacing w:line="42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第五部分：适应政策与市场变化，构建存量时代的核心竞争力</w:t>
      </w:r>
    </w:p>
    <w:p w14:paraId="5C5A818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（一）存量经济转型下EPC项目管理新模式</w:t>
      </w:r>
    </w:p>
    <w:p w14:paraId="55E7872E">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1.存量项目改造与升级的EPC项目管理要点；</w:t>
      </w:r>
    </w:p>
    <w:p w14:paraId="49F3F429">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2.城市更新、老旧小区改造等领域的EPC项目实践；</w:t>
      </w:r>
    </w:p>
    <w:p w14:paraId="2429D2E7">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3.新模式下的项目融资与合作方式创新；</w:t>
      </w:r>
    </w:p>
    <w:p w14:paraId="495EB01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（二）风险管理与应对策略</w:t>
      </w:r>
    </w:p>
    <w:p w14:paraId="33ACF5A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1.EPC项目面临的政策风险、市场风险、技术风险等分析；</w:t>
      </w:r>
    </w:p>
    <w:p w14:paraId="3620E078">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2.风险评估与预警机制的建立；</w:t>
      </w:r>
    </w:p>
    <w:p w14:paraId="123633B4">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3.风险应对措施与应急预案制定；</w:t>
      </w:r>
    </w:p>
    <w:p w14:paraId="26A519E5">
      <w:pPr>
        <w:keepNext w:val="0"/>
        <w:keepLines w:val="0"/>
        <w:pageBreakBefore w:val="0"/>
        <w:widowControl/>
        <w:suppressLineNumbers w:val="0"/>
        <w:kinsoku/>
        <w:wordWrap/>
        <w:overflowPunct/>
        <w:topLinePunct w:val="0"/>
        <w:autoSpaceDE/>
        <w:autoSpaceDN/>
        <w:bidi w:val="0"/>
        <w:adjustRightInd/>
        <w:snapToGrid/>
        <w:spacing w:line="42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4.案例分析:EPC项目风险管理的成功案例。</w:t>
      </w:r>
    </w:p>
    <w:p w14:paraId="61C701B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lang w:val="en-US" w:eastAsia="zh-CN"/>
        </w:rPr>
        <w:t>二</w:t>
      </w:r>
      <w:r>
        <w:rPr>
          <w:rFonts w:hint="eastAsia" w:ascii="仿宋" w:hAnsi="仿宋" w:eastAsia="仿宋" w:cs="仿宋"/>
          <w:b/>
          <w:bCs/>
          <w:color w:val="000000"/>
          <w:w w:val="90"/>
          <w:kern w:val="2"/>
          <w:sz w:val="28"/>
          <w:szCs w:val="28"/>
        </w:rPr>
        <w:t>、培训对象</w:t>
      </w:r>
    </w:p>
    <w:p w14:paraId="3883BD69">
      <w:pPr>
        <w:keepNext w:val="0"/>
        <w:keepLines w:val="0"/>
        <w:pageBreakBefore w:val="0"/>
        <w:widowControl/>
        <w:kinsoku/>
        <w:wordWrap/>
        <w:overflowPunct/>
        <w:topLinePunct w:val="0"/>
        <w:autoSpaceDE/>
        <w:autoSpaceDN/>
        <w:bidi w:val="0"/>
        <w:adjustRightInd/>
        <w:snapToGrid/>
        <w:spacing w:line="42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甲方基建管理岗位、施工单位、设计院、咨询机构、测绘、勘察、监理造价、审计、成本控制、安全管理等有有关单位相关负责人。</w:t>
      </w:r>
    </w:p>
    <w:p w14:paraId="2844F87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三、授课师资</w:t>
      </w:r>
    </w:p>
    <w:p w14:paraId="6265903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bCs/>
          <w:snapToGrid w:val="0"/>
          <w:color w:val="000000"/>
          <w:kern w:val="20"/>
          <w:position w:val="-4"/>
          <w:sz w:val="28"/>
          <w:szCs w:val="28"/>
          <w:lang w:val="en-US" w:eastAsia="zh-CN"/>
        </w:rPr>
      </w:pPr>
      <w:r>
        <w:rPr>
          <w:rFonts w:hint="eastAsia" w:ascii="仿宋" w:hAnsi="仿宋" w:eastAsia="仿宋" w:cs="仿宋"/>
          <w:color w:val="000000"/>
          <w:sz w:val="28"/>
          <w:szCs w:val="28"/>
        </w:rPr>
        <w:t>拟邀请住建部、</w:t>
      </w:r>
      <w:r>
        <w:rPr>
          <w:rFonts w:hint="eastAsia" w:ascii="仿宋" w:hAnsi="仿宋" w:eastAsia="仿宋" w:cs="仿宋"/>
          <w:color w:val="000000"/>
          <w:sz w:val="28"/>
          <w:szCs w:val="28"/>
          <w:lang w:val="en-US" w:eastAsia="zh-CN"/>
        </w:rPr>
        <w:t>中国建筑业协会</w:t>
      </w:r>
      <w:r>
        <w:rPr>
          <w:rFonts w:hint="eastAsia" w:ascii="仿宋" w:hAnsi="仿宋" w:eastAsia="仿宋" w:cs="仿宋"/>
          <w:color w:val="000000"/>
          <w:sz w:val="28"/>
          <w:szCs w:val="28"/>
        </w:rPr>
        <w:t>、中国对外工程承包商会、大型央企高层领导及具有项目管理丰富经验的实战专家现场授课，结合经典实例分析，并进行现场答疑和互动交流</w:t>
      </w:r>
      <w:r>
        <w:rPr>
          <w:rFonts w:hint="eastAsia" w:ascii="仿宋" w:hAnsi="仿宋" w:eastAsia="仿宋" w:cs="微软雅黑"/>
          <w:sz w:val="32"/>
          <w:szCs w:val="32"/>
        </w:rPr>
        <w:t>。</w:t>
      </w:r>
    </w:p>
    <w:p w14:paraId="75F2FC1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四、培训时间</w:t>
      </w:r>
    </w:p>
    <w:p w14:paraId="44582815">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2025年04月17日—04月20日   西安市 （17日全天报到）</w:t>
      </w:r>
    </w:p>
    <w:p w14:paraId="7FEC4D2F">
      <w:pPr>
        <w:keepNext w:val="0"/>
        <w:keepLines w:val="0"/>
        <w:pageBreakBefore w:val="0"/>
        <w:kinsoku/>
        <w:wordWrap/>
        <w:overflowPunct/>
        <w:topLinePunct w:val="0"/>
        <w:autoSpaceDE/>
        <w:autoSpaceDN/>
        <w:bidi w:val="0"/>
        <w:adjustRightInd/>
        <w:snapToGrid/>
        <w:spacing w:line="42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2025年04月24日—04月27日   重庆市 （24日全天报到）</w:t>
      </w:r>
    </w:p>
    <w:p w14:paraId="46B9CA1B">
      <w:pPr>
        <w:keepNext w:val="0"/>
        <w:keepLines w:val="0"/>
        <w:pageBreakBefore w:val="0"/>
        <w:kinsoku/>
        <w:wordWrap/>
        <w:overflowPunct/>
        <w:topLinePunct w:val="0"/>
        <w:autoSpaceDE/>
        <w:autoSpaceDN/>
        <w:bidi w:val="0"/>
        <w:adjustRightInd/>
        <w:snapToGrid/>
        <w:spacing w:line="42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2025年05月15日—05月18日   武汉市 （15日全天报到）</w:t>
      </w:r>
    </w:p>
    <w:p w14:paraId="1E751028">
      <w:pPr>
        <w:keepNext w:val="0"/>
        <w:keepLines w:val="0"/>
        <w:pageBreakBefore w:val="0"/>
        <w:kinsoku/>
        <w:wordWrap/>
        <w:overflowPunct/>
        <w:topLinePunct w:val="0"/>
        <w:autoSpaceDE/>
        <w:autoSpaceDN/>
        <w:bidi w:val="0"/>
        <w:adjustRightInd/>
        <w:snapToGrid/>
        <w:spacing w:line="42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2025年05月22日—05月25日   苏州市 （22日全天报到）</w:t>
      </w:r>
    </w:p>
    <w:p w14:paraId="6C6AF88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五、收费标准</w:t>
      </w:r>
    </w:p>
    <w:p w14:paraId="5D1B975C">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结业证书等</w:t>
      </w:r>
      <w:r>
        <w:rPr>
          <w:rFonts w:hint="eastAsia" w:ascii="仿宋" w:hAnsi="仿宋" w:eastAsia="仿宋" w:cs="仿宋"/>
          <w:color w:val="000000"/>
          <w:spacing w:val="10"/>
          <w:sz w:val="28"/>
          <w:szCs w:val="28"/>
        </w:rPr>
        <w:t>），住宿统一安排，费用自理。</w:t>
      </w:r>
    </w:p>
    <w:p w14:paraId="43748878">
      <w:pPr>
        <w:keepNext w:val="0"/>
        <w:keepLines w:val="0"/>
        <w:pageBreakBefore w:val="0"/>
        <w:kinsoku/>
        <w:wordWrap/>
        <w:overflowPunct/>
        <w:topLinePunct w:val="0"/>
        <w:autoSpaceDE/>
        <w:autoSpaceDN/>
        <w:bidi w:val="0"/>
        <w:adjustRightInd/>
        <w:snapToGrid/>
        <w:spacing w:line="420" w:lineRule="exact"/>
        <w:ind w:firstLine="600" w:firstLineChars="200"/>
        <w:textAlignment w:val="auto"/>
        <w:rPr>
          <w:rFonts w:hint="eastAsia" w:ascii="仿宋" w:hAnsi="仿宋" w:eastAsia="仿宋" w:cs="宋体"/>
          <w:color w:val="000000"/>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w:t>
      </w:r>
      <w:r>
        <w:rPr>
          <w:rFonts w:hint="eastAsia" w:ascii="仿宋" w:hAnsi="仿宋" w:eastAsia="仿宋" w:cs="仿宋"/>
          <w:color w:val="000000"/>
          <w:spacing w:val="10"/>
          <w:sz w:val="28"/>
          <w:szCs w:val="28"/>
          <w:lang w:val="en-US" w:eastAsia="zh-CN"/>
        </w:rPr>
        <w:t>一项岗位证书</w:t>
      </w:r>
      <w:r>
        <w:rPr>
          <w:rFonts w:hint="eastAsia" w:ascii="仿宋" w:hAnsi="仿宋" w:eastAsia="仿宋" w:cs="仿宋"/>
          <w:color w:val="000000"/>
          <w:spacing w:val="10"/>
          <w:sz w:val="28"/>
          <w:szCs w:val="28"/>
        </w:rPr>
        <w:t>及培训期间午餐），住宿统一安排，费用自理。</w:t>
      </w:r>
      <w:r>
        <w:rPr>
          <w:rFonts w:hint="eastAsia" w:ascii="仿宋" w:hAnsi="仿宋" w:eastAsia="仿宋" w:cs="仿宋"/>
          <w:color w:val="000000"/>
          <w:spacing w:val="10"/>
          <w:sz w:val="28"/>
          <w:szCs w:val="28"/>
          <w:lang w:val="en-US" w:eastAsia="zh-CN"/>
        </w:rPr>
        <w:t>证书</w:t>
      </w:r>
      <w:r>
        <w:rPr>
          <w:rFonts w:hint="eastAsia" w:ascii="仿宋" w:hAnsi="仿宋" w:eastAsia="仿宋" w:cs="宋体"/>
          <w:color w:val="000000"/>
          <w:kern w:val="0"/>
          <w:sz w:val="28"/>
          <w:szCs w:val="28"/>
          <w:shd w:val="clear" w:color="auto" w:fill="auto"/>
          <w:lang w:val="en-US" w:eastAsia="zh-CN" w:bidi="ar-SA"/>
        </w:rPr>
        <w:t>由我会颁发《工程总承包项目经理》或《合同经理》或《设计经理》。所需资料:二寸蓝底免冠彩色照片、身份证正反面、学历证书复印件等电子版材料。</w:t>
      </w:r>
    </w:p>
    <w:p w14:paraId="78932704">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0A23A883">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宋体"/>
          <w:color w:val="000000"/>
          <w:kern w:val="0"/>
          <w:sz w:val="28"/>
          <w:szCs w:val="28"/>
          <w:shd w:val="clear" w:color="auto" w:fill="auto"/>
          <w:lang w:val="en-US" w:eastAsia="zh-CN" w:bidi="ar-SA"/>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color w:val="000000"/>
          <w:kern w:val="0"/>
          <w:sz w:val="28"/>
          <w:szCs w:val="28"/>
          <w:shd w:val="clear" w:color="auto" w:fill="auto"/>
          <w:lang w:val="en-US" w:eastAsia="zh-CN" w:bidi="ar-SA"/>
        </w:rPr>
        <w:t>。</w:t>
      </w:r>
    </w:p>
    <w:p w14:paraId="6BC378A6">
      <w:pPr>
        <w:keepNext w:val="0"/>
        <w:keepLines w:val="0"/>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宋体"/>
          <w:color w:val="000000"/>
          <w:kern w:val="0"/>
          <w:sz w:val="28"/>
          <w:szCs w:val="28"/>
          <w:shd w:val="clear" w:color="auto" w:fill="auto"/>
          <w:lang w:val="en-US" w:eastAsia="zh-CN" w:bidi="ar-SA"/>
        </w:rPr>
      </w:pPr>
      <w:r>
        <w:rPr>
          <w:rFonts w:hint="default" w:ascii="仿宋" w:hAnsi="仿宋" w:eastAsia="仿宋" w:cs="宋体"/>
          <w:color w:val="000000"/>
          <w:kern w:val="0"/>
          <w:sz w:val="28"/>
          <w:szCs w:val="28"/>
          <w:shd w:val="clear" w:color="auto" w:fill="auto"/>
          <w:lang w:val="en-US" w:eastAsia="zh-CN" w:bidi="ar-SA"/>
        </w:rPr>
        <w:t>E.50000元/单位，单期会议不限参会人数。</w:t>
      </w:r>
    </w:p>
    <w:p w14:paraId="645981F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六、联系方式</w:t>
      </w:r>
    </w:p>
    <w:p w14:paraId="5FE5F533">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报名负责人：聂红军 主任18211071700（微信）   </w:t>
      </w:r>
    </w:p>
    <w:p w14:paraId="497DF8A2">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xml:space="preserve">电    话：13141289128        邮    箱：zqgphwz@126.com  </w:t>
      </w:r>
    </w:p>
    <w:p w14:paraId="7EE44014">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hAnsi="仿宋" w:cs="仿宋"/>
          <w:lang w:val="en-US" w:eastAsia="zh-CN"/>
        </w:rPr>
      </w:pPr>
      <w:r>
        <w:rPr>
          <w:rFonts w:hint="eastAsia" w:ascii="仿宋" w:hAnsi="仿宋" w:eastAsia="仿宋" w:cs="宋体"/>
          <w:color w:val="000000"/>
          <w:kern w:val="0"/>
          <w:sz w:val="28"/>
          <w:szCs w:val="28"/>
        </w:rPr>
        <w:t>qq咨询：3177524020          网    址：http://www.zqgpchina.cn</w:t>
      </w:r>
      <w:r>
        <w:rPr>
          <w:rFonts w:hint="eastAsia" w:hAnsi="仿宋" w:cs="仿宋"/>
          <w:lang w:val="en-US" w:eastAsia="zh-CN"/>
        </w:rPr>
        <w:t xml:space="preserve">     </w:t>
      </w:r>
    </w:p>
    <w:p w14:paraId="12B9B1B5">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仿宋"/>
          <w:color w:val="000000"/>
          <w:spacing w:val="10"/>
          <w:kern w:val="2"/>
          <w:sz w:val="28"/>
          <w:szCs w:val="28"/>
          <w:shd w:val="clear" w:color="auto" w:fill="auto"/>
          <w:lang w:val="en-US" w:eastAsia="zh-CN"/>
        </w:rPr>
      </w:pPr>
      <w:bookmarkStart w:id="0" w:name="_GoBack"/>
      <w:bookmarkEnd w:id="0"/>
      <w:r>
        <w:rPr>
          <w:rFonts w:hint="eastAsia" w:ascii="仿宋" w:hAnsi="仿宋" w:eastAsia="仿宋" w:cs="宋体"/>
          <w:color w:val="auto"/>
          <w:kern w:val="0"/>
          <w:sz w:val="28"/>
          <w:szCs w:val="28"/>
          <w:lang w:val="en-US" w:eastAsia="zh-CN" w:bidi="ar-SA"/>
        </w:rPr>
        <w:t>附件：报名回执表</w:t>
      </w: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3372485</wp:posOffset>
            </wp:positionH>
            <wp:positionV relativeFrom="paragraph">
              <wp:posOffset>227330</wp:posOffset>
            </wp:positionV>
            <wp:extent cx="1537970" cy="1529715"/>
            <wp:effectExtent l="0" t="0" r="5080" b="1333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bCs/>
          <w:color w:val="000000"/>
          <w:w w:val="90"/>
          <w:sz w:val="28"/>
          <w:szCs w:val="28"/>
        </w:rPr>
        <w:t xml:space="preserve">              </w:t>
      </w:r>
    </w:p>
    <w:p w14:paraId="040AA4ED">
      <w:pPr>
        <w:keepNext w:val="0"/>
        <w:keepLines w:val="0"/>
        <w:pageBreakBefore w:val="0"/>
        <w:widowControl/>
        <w:kinsoku/>
        <w:wordWrap/>
        <w:overflowPunct/>
        <w:topLinePunct w:val="0"/>
        <w:autoSpaceDE/>
        <w:autoSpaceDN/>
        <w:bidi w:val="0"/>
        <w:adjustRightInd/>
        <w:snapToGrid/>
        <w:spacing w:line="420" w:lineRule="exact"/>
        <w:ind w:firstLine="600" w:firstLineChars="200"/>
        <w:jc w:val="left"/>
        <w:textAlignment w:val="auto"/>
        <w:rPr>
          <w:rFonts w:hint="eastAsia" w:ascii="仿宋" w:hAnsi="仿宋" w:eastAsia="仿宋" w:cs="仿宋"/>
          <w:color w:val="000000"/>
          <w:spacing w:val="10"/>
          <w:kern w:val="2"/>
          <w:sz w:val="28"/>
          <w:szCs w:val="28"/>
          <w:shd w:val="clear" w:color="auto" w:fill="auto"/>
          <w:lang w:val="en-US" w:eastAsia="zh-CN"/>
        </w:rPr>
      </w:pPr>
    </w:p>
    <w:p w14:paraId="4CCF5F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eastAsia" w:ascii="仿宋" w:hAnsi="仿宋" w:eastAsia="仿宋" w:cs="仿宋"/>
          <w:color w:val="000000"/>
          <w:spacing w:val="10"/>
          <w:kern w:val="2"/>
          <w:sz w:val="28"/>
          <w:szCs w:val="28"/>
          <w:shd w:val="clear" w:color="auto" w:fill="auto"/>
          <w:lang w:val="en-US" w:eastAsia="zh-CN"/>
        </w:rPr>
      </w:pPr>
    </w:p>
    <w:p w14:paraId="7436CE6C">
      <w:pPr>
        <w:keepNext w:val="0"/>
        <w:keepLines w:val="0"/>
        <w:pageBreakBefore w:val="0"/>
        <w:widowControl w:val="0"/>
        <w:kinsoku/>
        <w:wordWrap/>
        <w:overflowPunct/>
        <w:topLinePunct w:val="0"/>
        <w:autoSpaceDE/>
        <w:autoSpaceDN/>
        <w:bidi w:val="0"/>
        <w:adjustRightInd/>
        <w:snapToGrid/>
        <w:spacing w:line="42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14:paraId="62EC6A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w:t>
      </w:r>
      <w:r>
        <w:rPr>
          <w:rFonts w:hint="eastAsia" w:ascii="仿宋" w:hAnsi="仿宋" w:eastAsia="仿宋" w:cs="宋体"/>
          <w:kern w:val="0"/>
          <w:sz w:val="28"/>
          <w:szCs w:val="28"/>
          <w:lang w:val="en-US" w:eastAsia="zh-CN" w:bidi="ar-SA"/>
        </w:rPr>
        <w:t>2025年1月18日</w:t>
      </w:r>
    </w:p>
    <w:p w14:paraId="7ADAE51E">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4759A2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00000"/>
          <w:kern w:val="0"/>
          <w:sz w:val="28"/>
          <w:szCs w:val="28"/>
          <w:shd w:val="clear" w:color="000000" w:fill="auto"/>
          <w:lang w:val="en-US" w:eastAsia="zh-CN"/>
        </w:rPr>
      </w:pPr>
      <w:r>
        <w:rPr>
          <w:rFonts w:hint="eastAsia" w:ascii="仿宋" w:hAnsi="仿宋" w:eastAsia="仿宋" w:cs="仿宋"/>
          <w:b/>
          <w:bCs/>
          <w:color w:val="000000"/>
          <w:kern w:val="0"/>
          <w:sz w:val="28"/>
          <w:szCs w:val="28"/>
          <w:shd w:val="clear" w:color="000000" w:fill="auto"/>
          <w:lang w:val="en-US" w:eastAsia="zh-CN"/>
        </w:rPr>
        <w:t>附件：</w:t>
      </w:r>
    </w:p>
    <w:p w14:paraId="6EA888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8"/>
          <w:szCs w:val="28"/>
          <w:shd w:val="clear" w:color="000000" w:fill="auto"/>
        </w:rPr>
      </w:pPr>
      <w:r>
        <w:rPr>
          <w:rFonts w:hint="eastAsia" w:ascii="仿宋" w:hAnsi="仿宋" w:eastAsia="仿宋" w:cs="仿宋"/>
          <w:b/>
          <w:bCs/>
          <w:color w:val="000000"/>
          <w:kern w:val="0"/>
          <w:sz w:val="28"/>
          <w:szCs w:val="28"/>
          <w:shd w:val="clear" w:color="000000" w:fill="auto"/>
          <w:lang w:val="en-US" w:eastAsia="zh-CN"/>
        </w:rPr>
        <w:t>EPC项目全过程精细化管理、超额利润获取与存量经济转型下的项目管理新模式应用专题培训班</w:t>
      </w:r>
      <w:r>
        <w:rPr>
          <w:rFonts w:hint="eastAsia" w:ascii="仿宋" w:hAnsi="仿宋" w:eastAsia="仿宋" w:cs="仿宋"/>
          <w:b/>
          <w:bCs/>
          <w:color w:val="000000"/>
          <w:kern w:val="0"/>
          <w:sz w:val="28"/>
          <w:szCs w:val="28"/>
          <w:shd w:val="clear" w:color="000000" w:fill="auto"/>
        </w:rPr>
        <w:t>报名</w:t>
      </w:r>
      <w:r>
        <w:rPr>
          <w:rFonts w:hint="eastAsia" w:ascii="仿宋" w:hAnsi="仿宋" w:eastAsia="仿宋" w:cs="仿宋"/>
          <w:b/>
          <w:bCs/>
          <w:color w:val="000000"/>
          <w:kern w:val="0"/>
          <w:sz w:val="28"/>
          <w:szCs w:val="28"/>
          <w:shd w:val="clear" w:color="000000" w:fill="auto"/>
          <w:lang w:val="en-US" w:eastAsia="zh-CN"/>
        </w:rPr>
        <w:t>回执</w:t>
      </w:r>
      <w:r>
        <w:rPr>
          <w:rFonts w:hint="eastAsia" w:ascii="仿宋" w:hAnsi="仿宋" w:eastAsia="仿宋" w:cs="仿宋"/>
          <w:b/>
          <w:bCs/>
          <w:color w:val="000000"/>
          <w:kern w:val="0"/>
          <w:sz w:val="28"/>
          <w:szCs w:val="28"/>
          <w:shd w:val="clear" w:color="000000" w:fill="auto"/>
        </w:rPr>
        <w:t>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509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DF95771">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14:paraId="2CABD95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14:paraId="1B90590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14:paraId="5F21C29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650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271C46F">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14:paraId="6C700E6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59C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8688BC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14:paraId="695C09E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18D6EE5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14:paraId="69E4C3A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3852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5F472E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14:paraId="2992361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59B30A68">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14:paraId="4300D8D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14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C80E83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14:paraId="5FD603A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3A68184D">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14:paraId="43996943">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0465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1C1D5F1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14:paraId="5B6ADF9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14:paraId="3FD5DD8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14:paraId="5F332C8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14:paraId="3E2BE70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14:paraId="5ECD1D86">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14:paraId="2B10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55CB36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386BC4E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A429DA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5A239A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980C89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4F282FDD">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02D2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361FB11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1D0390D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D3F268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AE950F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695FAC8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6B58C331">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0BE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38EF6E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006ADA5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620C731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AA609E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6F86C9E8">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181FC40F">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4DFE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EB7D934">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25D1DDE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78AB55E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6BE06D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0E4F1446">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CF1A3B1">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8F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1858165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44B8ADE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A5AEBC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0375908">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3973BC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EBEE99B">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67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D3AA0BA">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139627D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4D7E757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0247E3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323FCBE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4EF1FEFA">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5FE7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EB1ECC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5AFB695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7A05B05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B04074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CBA7CD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713ABF3B">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7653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566EDF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14:paraId="4CB7E4B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8A2E36F">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14:paraId="0203C6F0">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190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D4C624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14:paraId="384FD03D">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D5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CE0EDE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14:paraId="1E5DB143">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《合同经理》□   《设计经理》□</w:t>
            </w:r>
          </w:p>
        </w:tc>
      </w:tr>
      <w:tr w14:paraId="413A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4C995B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14:paraId="4BD7A63E">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14:paraId="6209367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14:paraId="38D1AFFC">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D07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14:paraId="7CF58E3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14:paraId="4B887BF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14:paraId="78908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北京利思教育咨询有限公司</w:t>
            </w:r>
            <w:r>
              <w:rPr>
                <w:rFonts w:hint="eastAsia" w:ascii="仿宋" w:hAnsi="仿宋" w:eastAsia="仿宋" w:cs="仿宋"/>
                <w:bCs/>
                <w:color w:val="000000"/>
                <w:sz w:val="28"/>
                <w:szCs w:val="28"/>
              </w:rPr>
              <w:t xml:space="preserve"> </w:t>
            </w:r>
          </w:p>
          <w:p w14:paraId="482184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760E622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0200004609200666087</w:t>
            </w:r>
          </w:p>
        </w:tc>
      </w:tr>
      <w:tr w14:paraId="7A5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14:paraId="44A782F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14:paraId="0939F53B">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7E52B567">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14:paraId="09C82A60">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14:paraId="550ABAAA">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70557DF2">
            <w:pPr>
              <w:pStyle w:val="9"/>
              <w:tabs>
                <w:tab w:val="left" w:pos="-1440"/>
              </w:tabs>
              <w:ind w:firstLine="480"/>
            </w:pPr>
          </w:p>
          <w:p w14:paraId="533C67D0">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bl>
    <w:p w14:paraId="728BCAB1">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备注：1</w:t>
      </w:r>
      <w:r>
        <w:rPr>
          <w:rFonts w:hint="eastAsia" w:ascii="仿宋" w:hAnsi="仿宋" w:eastAsia="仿宋" w:cs="宋体"/>
          <w:color w:val="000000"/>
          <w:kern w:val="0"/>
          <w:sz w:val="28"/>
          <w:szCs w:val="28"/>
        </w:rPr>
        <w:t>、</w:t>
      </w:r>
      <w:r>
        <w:rPr>
          <w:rFonts w:hint="eastAsia" w:ascii="仿宋" w:hAnsi="仿宋" w:eastAsia="仿宋" w:cs="宋体"/>
          <w:sz w:val="28"/>
          <w:szCs w:val="28"/>
        </w:rPr>
        <w:t>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63842BC7">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2、报名负责人：聂红军 主任18211071700（微信）   </w:t>
      </w:r>
    </w:p>
    <w:p w14:paraId="28628BED">
      <w:pPr>
        <w:spacing w:line="500" w:lineRule="exact"/>
        <w:ind w:firstLine="1120" w:firstLineChars="400"/>
        <w:rPr>
          <w:rFonts w:hint="eastAsia" w:ascii="仿宋" w:hAnsi="仿宋" w:eastAsia="仿宋" w:cs="宋体"/>
          <w:sz w:val="28"/>
          <w:szCs w:val="28"/>
        </w:rPr>
      </w:pPr>
      <w:r>
        <w:rPr>
          <w:rFonts w:hint="eastAsia" w:ascii="仿宋" w:hAnsi="仿宋" w:eastAsia="仿宋" w:cs="宋体"/>
          <w:sz w:val="28"/>
          <w:szCs w:val="28"/>
        </w:rPr>
        <w:t xml:space="preserve">电    话：13141289128        邮    箱：zqgphwz@126.com  </w:t>
      </w:r>
    </w:p>
    <w:p w14:paraId="1C01593D">
      <w:pPr>
        <w:spacing w:line="500" w:lineRule="exact"/>
        <w:ind w:firstLine="1120" w:firstLineChars="400"/>
        <w:rPr>
          <w:rFonts w:hint="eastAsia" w:ascii="仿宋" w:hAnsi="仿宋" w:eastAsia="仿宋" w:cs="宋体"/>
          <w:bCs/>
          <w:sz w:val="28"/>
          <w:szCs w:val="28"/>
        </w:rPr>
      </w:pPr>
      <w:r>
        <w:rPr>
          <w:rFonts w:hint="eastAsia" w:ascii="仿宋" w:hAnsi="仿宋" w:eastAsia="仿宋" w:cs="宋体"/>
          <w:sz w:val="28"/>
          <w:szCs w:val="28"/>
        </w:rPr>
        <w:t>qq咨询：3177524020       网    址：http://www.zqgpchina.cn</w:t>
      </w:r>
    </w:p>
    <w:p w14:paraId="1CF081EC">
      <w:pPr>
        <w:spacing w:line="400" w:lineRule="exact"/>
        <w:rPr>
          <w:rFonts w:ascii="仿宋" w:hAnsi="仿宋" w:eastAsia="仿宋" w:cs="仿宋_GB2312"/>
          <w:bCs/>
          <w:color w:val="000000"/>
          <w:sz w:val="28"/>
          <w:szCs w:val="28"/>
        </w:rPr>
      </w:pPr>
    </w:p>
    <w:p w14:paraId="447D256F">
      <w:pPr>
        <w:spacing w:line="400" w:lineRule="exact"/>
        <w:rPr>
          <w:rFonts w:ascii="仿宋" w:hAnsi="仿宋" w:eastAsia="仿宋" w:cs="仿宋_GB2312"/>
          <w:bCs/>
          <w:color w:val="000000"/>
          <w:sz w:val="28"/>
          <w:szCs w:val="28"/>
        </w:rPr>
      </w:pP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427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77852525">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14:paraId="77852525">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6DF3A6F"/>
    <w:rsid w:val="07097292"/>
    <w:rsid w:val="074A4D46"/>
    <w:rsid w:val="07D01B5E"/>
    <w:rsid w:val="07D45C0F"/>
    <w:rsid w:val="086B2BCC"/>
    <w:rsid w:val="08C2594B"/>
    <w:rsid w:val="08D16703"/>
    <w:rsid w:val="094B11BC"/>
    <w:rsid w:val="0A971D96"/>
    <w:rsid w:val="0B30198C"/>
    <w:rsid w:val="0E767C02"/>
    <w:rsid w:val="0EC72DF8"/>
    <w:rsid w:val="0FE862DB"/>
    <w:rsid w:val="101133B7"/>
    <w:rsid w:val="105129C5"/>
    <w:rsid w:val="107C6D27"/>
    <w:rsid w:val="1149633E"/>
    <w:rsid w:val="14834375"/>
    <w:rsid w:val="149061D5"/>
    <w:rsid w:val="14AE254B"/>
    <w:rsid w:val="14F2095A"/>
    <w:rsid w:val="15AA6BE9"/>
    <w:rsid w:val="173533D7"/>
    <w:rsid w:val="19BA58A2"/>
    <w:rsid w:val="1A1A7069"/>
    <w:rsid w:val="1D2C7290"/>
    <w:rsid w:val="1E6A2554"/>
    <w:rsid w:val="1F9A714F"/>
    <w:rsid w:val="1FAF219A"/>
    <w:rsid w:val="1FB12AFA"/>
    <w:rsid w:val="205B4410"/>
    <w:rsid w:val="205D5D2B"/>
    <w:rsid w:val="21022930"/>
    <w:rsid w:val="22D84291"/>
    <w:rsid w:val="232178B1"/>
    <w:rsid w:val="23F80E16"/>
    <w:rsid w:val="24743B45"/>
    <w:rsid w:val="24DC4D6F"/>
    <w:rsid w:val="26E522F3"/>
    <w:rsid w:val="27C4362A"/>
    <w:rsid w:val="27F96D69"/>
    <w:rsid w:val="281612B4"/>
    <w:rsid w:val="2944586D"/>
    <w:rsid w:val="2B7546E9"/>
    <w:rsid w:val="2C2354FA"/>
    <w:rsid w:val="2C9F5E1F"/>
    <w:rsid w:val="2DC203B6"/>
    <w:rsid w:val="2E58122D"/>
    <w:rsid w:val="2F555843"/>
    <w:rsid w:val="30ED12C3"/>
    <w:rsid w:val="313D5C0A"/>
    <w:rsid w:val="31914E24"/>
    <w:rsid w:val="31997E2A"/>
    <w:rsid w:val="3391591B"/>
    <w:rsid w:val="33A41AA3"/>
    <w:rsid w:val="343F5187"/>
    <w:rsid w:val="357B0FAE"/>
    <w:rsid w:val="3699743B"/>
    <w:rsid w:val="37610C7D"/>
    <w:rsid w:val="379813FB"/>
    <w:rsid w:val="37C82AE4"/>
    <w:rsid w:val="386220DD"/>
    <w:rsid w:val="39491CE4"/>
    <w:rsid w:val="3A2B124D"/>
    <w:rsid w:val="3AD429C2"/>
    <w:rsid w:val="3D2A7B71"/>
    <w:rsid w:val="3D7229E8"/>
    <w:rsid w:val="3E664B6D"/>
    <w:rsid w:val="3EF98882"/>
    <w:rsid w:val="3EFA4545"/>
    <w:rsid w:val="3FEF1EF3"/>
    <w:rsid w:val="40B530C4"/>
    <w:rsid w:val="42F72956"/>
    <w:rsid w:val="437B6926"/>
    <w:rsid w:val="43846C19"/>
    <w:rsid w:val="438651D3"/>
    <w:rsid w:val="446529ED"/>
    <w:rsid w:val="44A616A1"/>
    <w:rsid w:val="451E56DB"/>
    <w:rsid w:val="458E7036"/>
    <w:rsid w:val="460D2589"/>
    <w:rsid w:val="471843AC"/>
    <w:rsid w:val="47415467"/>
    <w:rsid w:val="4777325F"/>
    <w:rsid w:val="499F1FBB"/>
    <w:rsid w:val="4B6556D7"/>
    <w:rsid w:val="4B8359A5"/>
    <w:rsid w:val="4BE0656F"/>
    <w:rsid w:val="4BFD6CB8"/>
    <w:rsid w:val="4C5A293A"/>
    <w:rsid w:val="4DD354BD"/>
    <w:rsid w:val="50957218"/>
    <w:rsid w:val="50C81726"/>
    <w:rsid w:val="5236594B"/>
    <w:rsid w:val="527F2630"/>
    <w:rsid w:val="53130849"/>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7E36CC5"/>
    <w:rsid w:val="68DB306A"/>
    <w:rsid w:val="699279AE"/>
    <w:rsid w:val="69DE4C53"/>
    <w:rsid w:val="6AC501A8"/>
    <w:rsid w:val="6B5FAEE0"/>
    <w:rsid w:val="6BAB44AE"/>
    <w:rsid w:val="6DE0518A"/>
    <w:rsid w:val="6F7A39B4"/>
    <w:rsid w:val="6FEC567C"/>
    <w:rsid w:val="703A4265"/>
    <w:rsid w:val="707F6656"/>
    <w:rsid w:val="7102558A"/>
    <w:rsid w:val="712367BA"/>
    <w:rsid w:val="713F0DB2"/>
    <w:rsid w:val="715E40C3"/>
    <w:rsid w:val="71D41821"/>
    <w:rsid w:val="72002506"/>
    <w:rsid w:val="72A23D76"/>
    <w:rsid w:val="7384470B"/>
    <w:rsid w:val="74953ACF"/>
    <w:rsid w:val="74B068A1"/>
    <w:rsid w:val="74C21BCC"/>
    <w:rsid w:val="74E27C24"/>
    <w:rsid w:val="755144A5"/>
    <w:rsid w:val="75A16B17"/>
    <w:rsid w:val="75DA632B"/>
    <w:rsid w:val="767F0523"/>
    <w:rsid w:val="767F63B8"/>
    <w:rsid w:val="769B49DF"/>
    <w:rsid w:val="76C03B43"/>
    <w:rsid w:val="78415CB0"/>
    <w:rsid w:val="78AD1B11"/>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99"/>
    <w:pPr>
      <w:spacing w:after="120"/>
      <w:ind w:left="420" w:leftChars="200"/>
    </w:p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paragraph" w:styleId="9">
    <w:name w:val="Body Text First Indent 2"/>
    <w:basedOn w:val="5"/>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rFonts w:cs="Times New Roman"/>
      <w:b/>
      <w:bCs/>
    </w:rPr>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页眉 Char"/>
    <w:basedOn w:val="12"/>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4054</Words>
  <Characters>4441</Characters>
  <Lines>25</Lines>
  <Paragraphs>7</Paragraphs>
  <TotalTime>1</TotalTime>
  <ScaleCrop>false</ScaleCrop>
  <LinksUpToDate>false</LinksUpToDate>
  <CharactersWithSpaces>4599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2020-12-28T01:41:00Z</dcterms:created>
  <dc:creator>Administrator</dc:creator>
  <cp:lastModifiedBy>聂红军</cp:lastModifiedBy>
  <dcterms:modified xsi:type="dcterms:W3CDTF">2025-04-07T00:10:35Z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EF0828D4151F4528AF20C7E581EDB1AD_13</vt:lpwstr>
  </property>
  <property fmtid="{D5CDD505-2E9C-101B-9397-08002B2CF9AE}" pid="4" name="KSOTemplateDocerSaveRecord">
    <vt:lpwstr>eyJoZGlkIjoiZTUyMWM5NTU3NmQwMzYzZGY2NjUyMjZkNDUzMDVhNDkiLCJ1c2VySWQiOiI0OTM4MTE0ODQifQ==</vt:lpwstr>
  </property>
</Properties>
</file>