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031EE">
      <w:pPr>
        <w:adjustRightInd w:val="0"/>
        <w:snapToGrid w:val="0"/>
        <w:ind w:right="122"/>
        <w:jc w:val="center"/>
        <w:rPr>
          <w:rFonts w:ascii="宋体" w:hAnsi="宋体" w:cs="宋体"/>
          <w:b/>
          <w:color w:val="FF0000"/>
          <w:spacing w:val="91"/>
          <w:sz w:val="72"/>
          <w:szCs w:val="72"/>
        </w:rPr>
      </w:pPr>
      <w:r>
        <w:rPr>
          <w:rFonts w:hint="eastAsia" w:ascii="宋体" w:hAnsi="宋体" w:cs="宋体"/>
          <w:b/>
          <w:color w:val="FF0000"/>
          <w:spacing w:val="96"/>
          <w:sz w:val="72"/>
          <w:szCs w:val="72"/>
        </w:rPr>
        <w:t>中国国际工程咨询协会</w:t>
      </w:r>
    </w:p>
    <w:p w14:paraId="467F690A">
      <w:pPr>
        <w:adjustRightInd w:val="0"/>
        <w:snapToGrid w:val="0"/>
        <w:spacing w:line="360" w:lineRule="auto"/>
        <w:ind w:right="122"/>
        <w:jc w:val="center"/>
      </w:pP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124460</wp:posOffset>
                </wp:positionV>
                <wp:extent cx="6219825" cy="1270"/>
                <wp:effectExtent l="0" t="0" r="0" b="0"/>
                <wp:wrapNone/>
                <wp:docPr id="1" name="直接连接符 2"/>
                <wp:cNvGraphicFramePr/>
                <a:graphic xmlns:a="http://schemas.openxmlformats.org/drawingml/2006/main">
                  <a:graphicData uri="http://schemas.microsoft.com/office/word/2010/wordprocessingShape">
                    <wps:wsp>
                      <wps:cNvCnPr/>
                      <wps:spPr>
                        <a:xfrm>
                          <a:off x="0" y="0"/>
                          <a:ext cx="6219825" cy="127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直接连接符 2" o:spid="_x0000_s1026" o:spt="32" type="#_x0000_t32" style="position:absolute;left:0pt;margin-left:-2.55pt;margin-top:9.8pt;height:0.1pt;width:489.75pt;z-index:251660288;mso-width-relative:page;mso-height-relative:page;" filled="f" stroked="t" coordsize="21600,21600" o:gfxdata="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5irA1wAAAAgBAAAPAAAAAAAAAAEAIAAAACIAAABkcnMvZG93&#10;bnJldi54bWxQSwECFAAUAAAACACHTuJAjAu30wECAAD4AwAADgAAAAAAAAABACAAAAAmAQAAZHJz&#10;L2Uyb0RvYy54bWxQSwUGAAAAAAYABgBZAQAAmQUAAAAA&#10;">
                <v:fill on="f" focussize="0,0"/>
                <v:stroke weight="2pt" color="#FF0000" joinstyle="round"/>
                <v:imagedata o:title=""/>
                <o:lock v:ext="edit" aspectratio="f"/>
              </v:shape>
            </w:pict>
          </mc:Fallback>
        </mc:AlternateContent>
      </w:r>
      <w:r>
        <w:rPr>
          <w:rFonts w:hint="eastAsia" w:ascii="仿宋" w:hAnsi="仿宋" w:eastAsia="仿宋"/>
          <w:b/>
          <w:sz w:val="30"/>
          <w:szCs w:val="30"/>
        </w:rPr>
        <w:t xml:space="preserve">    </w:t>
      </w:r>
    </w:p>
    <w:p w14:paraId="449D6E8B">
      <w:pPr>
        <w:adjustRightInd w:val="0"/>
        <w:snapToGrid w:val="0"/>
        <w:spacing w:line="480" w:lineRule="exact"/>
        <w:ind w:right="119"/>
        <w:jc w:val="center"/>
        <w:rPr>
          <w:rFonts w:ascii="仿宋" w:hAnsi="仿宋" w:eastAsia="仿宋" w:cs="仿宋"/>
          <w:b/>
          <w:bCs/>
          <w:sz w:val="36"/>
          <w:szCs w:val="36"/>
        </w:rPr>
      </w:pPr>
    </w:p>
    <w:p w14:paraId="781D063D">
      <w:pPr>
        <w:adjustRightInd w:val="0"/>
        <w:snapToGrid w:val="0"/>
        <w:spacing w:line="480" w:lineRule="exact"/>
        <w:ind w:right="119"/>
        <w:jc w:val="center"/>
        <w:rPr>
          <w:rFonts w:ascii="仿宋" w:hAnsi="仿宋" w:eastAsia="仿宋" w:cs="FangSong_GB2312"/>
          <w:color w:val="000000"/>
          <w:spacing w:val="-12"/>
          <w:sz w:val="28"/>
          <w:szCs w:val="28"/>
        </w:rPr>
      </w:pPr>
      <w:r>
        <w:rPr>
          <w:rFonts w:hint="eastAsia" w:ascii="仿宋" w:hAnsi="仿宋" w:eastAsia="仿宋" w:cs="仿宋"/>
          <w:b/>
          <w:bCs/>
          <w:sz w:val="36"/>
          <w:szCs w:val="36"/>
        </w:rPr>
        <w:t xml:space="preserve">  关于举办“</w:t>
      </w:r>
      <w:r>
        <w:rPr>
          <w:rFonts w:hint="eastAsia" w:ascii="仿宋" w:hAnsi="仿宋" w:eastAsia="仿宋" w:cs="仿宋"/>
          <w:b/>
          <w:bCs/>
          <w:spacing w:val="-20"/>
          <w:sz w:val="36"/>
          <w:szCs w:val="36"/>
        </w:rPr>
        <w:t>《建设工程工程量清单计价标准》(GB/T50500-2024)</w:t>
      </w:r>
      <w:r>
        <w:rPr>
          <w:rFonts w:hint="eastAsia" w:ascii="仿宋" w:hAnsi="仿宋" w:eastAsia="仿宋" w:cs="仿宋"/>
          <w:b/>
          <w:bCs/>
          <w:sz w:val="36"/>
          <w:szCs w:val="36"/>
        </w:rPr>
        <w:t>应用解读、合同风险揭示与防范暨建设项目全过程造价管控与审计、财评实操专题培训班”的通知</w:t>
      </w:r>
    </w:p>
    <w:p w14:paraId="13E70DE3">
      <w:pPr>
        <w:adjustRightInd w:val="0"/>
        <w:snapToGrid w:val="0"/>
        <w:spacing w:line="480" w:lineRule="exact"/>
        <w:ind w:right="119" w:firstLine="1792" w:firstLineChars="700"/>
      </w:pPr>
      <w:r>
        <w:rPr>
          <w:rFonts w:hint="eastAsia" w:ascii="仿宋" w:hAnsi="仿宋" w:eastAsia="仿宋" w:cs="FangSong_GB2312"/>
          <w:color w:val="000000"/>
          <w:spacing w:val="-12"/>
          <w:sz w:val="28"/>
          <w:szCs w:val="28"/>
        </w:rPr>
        <w:t xml:space="preserve">                                       </w:t>
      </w:r>
    </w:p>
    <w:p w14:paraId="0FCA83D6">
      <w:pPr>
        <w:pStyle w:val="6"/>
        <w:shd w:val="clear" w:color="FFFFFF" w:fill="FFFFFF"/>
        <w:spacing w:before="0" w:beforeAutospacing="0" w:after="0" w:afterAutospacing="0" w:line="480" w:lineRule="exact"/>
        <w:ind w:right="122"/>
        <w:jc w:val="center"/>
        <w:rPr>
          <w:rStyle w:val="10"/>
          <w:rFonts w:ascii="仿宋" w:hAnsi="仿宋" w:eastAsia="仿宋" w:cs="仿宋"/>
          <w:color w:val="3E3E3E"/>
        </w:rPr>
      </w:pPr>
      <w:r>
        <w:rPr>
          <w:rFonts w:hint="eastAsia" w:ascii="仿宋" w:hAnsi="仿宋" w:eastAsia="仿宋" w:cs="FangSong_GB2312"/>
          <w:color w:val="000000"/>
          <w:spacing w:val="-12"/>
          <w:sz w:val="28"/>
          <w:szCs w:val="28"/>
        </w:rPr>
        <w:t xml:space="preserve">                                                                国咨协[2025]073号</w:t>
      </w:r>
    </w:p>
    <w:p w14:paraId="04004097">
      <w:pPr>
        <w:pStyle w:val="6"/>
        <w:shd w:val="clear" w:color="FFFFFF" w:fill="FFFFFF"/>
        <w:spacing w:before="0" w:beforeAutospacing="0" w:after="0" w:afterAutospacing="0"/>
        <w:ind w:right="119"/>
        <w:rPr>
          <w:rStyle w:val="10"/>
          <w:rFonts w:ascii="仿宋" w:hAnsi="仿宋" w:eastAsia="仿宋" w:cs="仿宋"/>
          <w:color w:val="3E3E3E"/>
          <w:sz w:val="28"/>
          <w:szCs w:val="28"/>
        </w:rPr>
      </w:pPr>
    </w:p>
    <w:p w14:paraId="1D09B1C3">
      <w:pPr>
        <w:pStyle w:val="6"/>
        <w:shd w:val="clear" w:color="FFFFFF" w:fill="FFFFFF"/>
        <w:spacing w:before="0" w:beforeAutospacing="0" w:after="0" w:afterAutospacing="0"/>
        <w:ind w:right="119"/>
        <w:rPr>
          <w:rStyle w:val="10"/>
          <w:rFonts w:ascii="仿宋" w:hAnsi="仿宋" w:eastAsia="仿宋" w:cs="仿宋"/>
          <w:color w:val="3E3E3E"/>
          <w:sz w:val="28"/>
          <w:szCs w:val="28"/>
        </w:rPr>
      </w:pPr>
      <w:r>
        <w:rPr>
          <w:rStyle w:val="10"/>
          <w:rFonts w:hint="eastAsia" w:ascii="仿宋" w:hAnsi="仿宋" w:eastAsia="仿宋" w:cs="仿宋"/>
          <w:color w:val="3E3E3E"/>
          <w:sz w:val="28"/>
          <w:szCs w:val="28"/>
        </w:rPr>
        <w:t>各有关单位：</w:t>
      </w:r>
    </w:p>
    <w:p w14:paraId="7646A05F">
      <w:pPr>
        <w:pStyle w:val="6"/>
        <w:shd w:val="clear" w:color="FFFFFF" w:fill="FFFFFF"/>
        <w:spacing w:before="0" w:beforeAutospacing="0" w:after="0" w:afterAutospacing="0" w:line="500" w:lineRule="exact"/>
        <w:ind w:right="119" w:firstLine="560" w:firstLineChars="200"/>
        <w:rPr>
          <w:rStyle w:val="10"/>
          <w:rFonts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2024版《建设工程工程量清单计价标准》以习近平新时代中国特色社会主义思想为引领，深入贯彻党中央、国务院推动建筑业高质量发展的战略部署。它立足市场，发挥其在资源配置中的决定性作用，同时妥善处理政府与市场的关系。通过创新工程计量与计价规则、完善计价依据发布机制、强化造价数据积累、明确建设单位造价管控责任以及严格施工合同履约管理等多维度举措，全力推行清单计量、市场询价、自主报价、竞争定价的先进工程计价方式，进一步优化工程造价市场形成机制！</w:t>
      </w:r>
    </w:p>
    <w:p w14:paraId="17343721">
      <w:pPr>
        <w:pStyle w:val="6"/>
        <w:shd w:val="clear" w:color="FFFFFF" w:fill="FFFFFF"/>
        <w:spacing w:before="0" w:beforeAutospacing="0" w:after="0" w:afterAutospacing="0" w:line="500" w:lineRule="exact"/>
        <w:ind w:right="119" w:firstLine="560" w:firstLineChars="200"/>
        <w:rPr>
          <w:rStyle w:val="10"/>
          <w:rFonts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随着我国建筑业进入高质量发展阶段，工程造价领域的改革也在不断深化。《建设工程工程量清单计价标准》(GB/T50500-2024)的修订，正是为了适应新时代建筑业发展的需要，完善工程造价市场竞争机制，提高工程造价管理水平，我会决定举办</w:t>
      </w:r>
      <w:r>
        <w:rPr>
          <w:rStyle w:val="10"/>
          <w:rFonts w:hint="eastAsia" w:ascii="仿宋" w:hAnsi="仿宋" w:eastAsia="仿宋" w:cs="仿宋"/>
          <w:color w:val="3E3E3E"/>
          <w:sz w:val="28"/>
          <w:szCs w:val="28"/>
        </w:rPr>
        <w:t>“</w:t>
      </w:r>
      <w:r>
        <w:rPr>
          <w:rStyle w:val="10"/>
          <w:rFonts w:hint="eastAsia" w:ascii="仿宋" w:hAnsi="仿宋" w:eastAsia="仿宋" w:cs="仿宋"/>
          <w:color w:val="3E3E3E"/>
          <w:spacing w:val="-20"/>
          <w:sz w:val="28"/>
          <w:szCs w:val="28"/>
        </w:rPr>
        <w:t>《建设工程工程量清单计价标准》(GB/T50500-2024)应用解读、合同风险揭示与防范暨建设项目全过程造价管控与审计、财评实操专题培训班</w:t>
      </w:r>
      <w:r>
        <w:rPr>
          <w:rStyle w:val="10"/>
          <w:rFonts w:hint="eastAsia" w:ascii="仿宋" w:hAnsi="仿宋" w:eastAsia="仿宋" w:cs="仿宋"/>
          <w:color w:val="3E3E3E"/>
          <w:sz w:val="28"/>
          <w:szCs w:val="28"/>
        </w:rPr>
        <w:t>”</w:t>
      </w:r>
      <w:r>
        <w:rPr>
          <w:rStyle w:val="10"/>
          <w:rFonts w:hint="eastAsia" w:ascii="仿宋" w:hAnsi="仿宋" w:eastAsia="仿宋" w:cs="仿宋"/>
          <w:b w:val="0"/>
          <w:bCs w:val="0"/>
          <w:color w:val="3E3E3E"/>
          <w:sz w:val="28"/>
          <w:szCs w:val="28"/>
        </w:rPr>
        <w:t>。本次培训将深度解读2024版清单计价标准的修订变化，并揭示合同风险及防范措施，为工程领域的造价及相关从业人员提供全面的指导和帮助。</w:t>
      </w:r>
    </w:p>
    <w:p w14:paraId="6F8ABB96">
      <w:pPr>
        <w:pStyle w:val="6"/>
        <w:shd w:val="clear" w:color="FFFFFF" w:fill="FFFFFF"/>
        <w:spacing w:before="0" w:beforeAutospacing="0" w:after="0" w:afterAutospacing="0" w:line="500" w:lineRule="exact"/>
        <w:ind w:right="119" w:firstLine="560" w:firstLineChars="200"/>
        <w:rPr>
          <w:rStyle w:val="10"/>
          <w:rFonts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本专题培训班由中国国际工程咨询协会主办，培训结束后颁发中国国际工程咨询协会培训结业证书，请各单位积极组织本单位及下属单位相关人员参加。</w:t>
      </w:r>
    </w:p>
    <w:p w14:paraId="29312E82">
      <w:pPr>
        <w:spacing w:line="500" w:lineRule="exact"/>
        <w:ind w:right="119"/>
        <w:rPr>
          <w:rFonts w:hint="eastAsia" w:ascii="仿宋" w:hAnsi="仿宋" w:eastAsia="仿宋" w:cs="仿宋"/>
          <w:b/>
          <w:bCs/>
          <w:sz w:val="28"/>
          <w:szCs w:val="28"/>
        </w:rPr>
      </w:pPr>
    </w:p>
    <w:p w14:paraId="7702655E">
      <w:pPr>
        <w:spacing w:line="500" w:lineRule="exact"/>
        <w:ind w:right="119"/>
        <w:rPr>
          <w:rFonts w:ascii="仿宋" w:hAnsi="仿宋" w:eastAsia="仿宋" w:cs="仿宋"/>
          <w:b/>
          <w:bCs/>
          <w:sz w:val="28"/>
          <w:szCs w:val="28"/>
        </w:rPr>
      </w:pPr>
      <w:r>
        <w:rPr>
          <w:rFonts w:hint="eastAsia" w:ascii="仿宋" w:hAnsi="仿宋" w:eastAsia="仿宋" w:cs="仿宋"/>
          <w:b/>
          <w:bCs/>
          <w:sz w:val="28"/>
          <w:szCs w:val="28"/>
        </w:rPr>
        <w:t>一、培训收益</w:t>
      </w:r>
    </w:p>
    <w:p w14:paraId="46122DED">
      <w:pPr>
        <w:spacing w:line="500" w:lineRule="exact"/>
        <w:ind w:right="119" w:firstLine="562" w:firstLineChars="200"/>
        <w:rPr>
          <w:rFonts w:ascii="仿宋" w:hAnsi="仿宋" w:eastAsia="仿宋" w:cs="仿宋"/>
          <w:b/>
          <w:bCs/>
          <w:sz w:val="28"/>
          <w:szCs w:val="28"/>
        </w:rPr>
      </w:pPr>
      <w:r>
        <w:rPr>
          <w:rFonts w:hint="eastAsia" w:ascii="仿宋" w:hAnsi="仿宋" w:eastAsia="仿宋" w:cs="仿宋"/>
          <w:b/>
          <w:bCs/>
          <w:sz w:val="28"/>
          <w:szCs w:val="28"/>
        </w:rPr>
        <w:t>（一）24清单修订深度解读</w:t>
      </w:r>
    </w:p>
    <w:p w14:paraId="09F65D11">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修订背景与目的：全面介绍修订计价计量规范的重要性和目的，深入解读修订过程中的关键节点和主要思路。</w:t>
      </w:r>
    </w:p>
    <w:p w14:paraId="4CD9050F">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主要变化分析：详细阐述新标准在结构、内容、要求等方面的变化，包括条文调整、费用组成、风险分担、计量计价规则等，帮助学员全面掌握新标准的核心内容。</w:t>
      </w:r>
    </w:p>
    <w:p w14:paraId="5D0EEB3B">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实务指引：结合新标准的变化，提供实用的实务操作指南，如项目特征描述、分包清单缺陷责任处理、措施项目报价合理性管理等，帮助学员将理论知识转化为实际操作能力。</w:t>
      </w:r>
    </w:p>
    <w:p w14:paraId="6FFF268B">
      <w:pPr>
        <w:spacing w:line="500" w:lineRule="exact"/>
        <w:ind w:right="119" w:firstLine="562" w:firstLineChars="200"/>
        <w:rPr>
          <w:rFonts w:ascii="仿宋" w:hAnsi="仿宋" w:eastAsia="仿宋" w:cs="仿宋"/>
          <w:b/>
          <w:bCs/>
          <w:sz w:val="28"/>
          <w:szCs w:val="28"/>
        </w:rPr>
      </w:pPr>
      <w:r>
        <w:rPr>
          <w:rFonts w:hint="eastAsia" w:ascii="仿宋" w:hAnsi="仿宋" w:eastAsia="仿宋" w:cs="仿宋"/>
          <w:b/>
          <w:bCs/>
          <w:sz w:val="28"/>
          <w:szCs w:val="28"/>
        </w:rPr>
        <w:t>（二）24清单应用实务</w:t>
      </w:r>
    </w:p>
    <w:p w14:paraId="1AD2D80D">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修订变化应用实务：详细说明招标控制价、最高投标限价、标底之间的关系、区别与应用；利用冲突的表现形式与应用建议；清单缺陷表现形式、典型案例与应用要点；施工过程结算与工程结算的关系和区别、剖析施工过程结算实施难点与困难、应用要点；工程结算应用要点与应用案例；全面分析新增工程的定义和与工程变更的边界、如何认定新增工程、新增工程应用潜在风险分析、新增工程计量与计价、合同管理关于新增工程的应用要点。</w:t>
      </w:r>
    </w:p>
    <w:p w14:paraId="04621053">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分部分项工程项目应用实务：深入探讨分部分项工程项目的计量与计价风险、清单缺陷责任、变更价款、进度款支付、对分包的管理变化，剖析典型案例和分享应用要点。</w:t>
      </w:r>
    </w:p>
    <w:p w14:paraId="24815FA9">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措施项目应用实务：深入探讨措施工程项目的清单编制要点、计量与计价风险、清单缺陷责任、变更价款、进度款支付、对分包的管理变化，剖析典型案例和分享应用要点。</w:t>
      </w:r>
    </w:p>
    <w:p w14:paraId="1F13B589">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其他项目应用实务：深入探讨暂列金、暂估价、计日工、总包服务费用的最高投标限价编制要点、计量与计价风险、清单缺陷责任、变更价款、进度款支付、工程结算，剖析典型案例和分享应用要点。</w:t>
      </w:r>
    </w:p>
    <w:p w14:paraId="6D723F7C">
      <w:pPr>
        <w:spacing w:line="500" w:lineRule="exact"/>
        <w:ind w:right="119" w:firstLine="562" w:firstLineChars="200"/>
        <w:rPr>
          <w:rFonts w:ascii="仿宋" w:hAnsi="仿宋" w:eastAsia="仿宋" w:cs="仿宋"/>
          <w:b/>
          <w:bCs/>
          <w:sz w:val="28"/>
          <w:szCs w:val="28"/>
        </w:rPr>
      </w:pPr>
      <w:r>
        <w:rPr>
          <w:rFonts w:hint="eastAsia" w:ascii="仿宋" w:hAnsi="仿宋" w:eastAsia="仿宋" w:cs="仿宋"/>
          <w:b/>
          <w:bCs/>
          <w:sz w:val="28"/>
          <w:szCs w:val="28"/>
        </w:rPr>
        <w:t>（三）内容核心要素</w:t>
      </w:r>
    </w:p>
    <w:p w14:paraId="44364EAB">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全面掌握2024版清单计价标准的修订变化和核心内容。揭示合同风险与防范措施，进一步提升建设工程项目全过程造价管控与审计、财评实务操作能力和解决实际问题的能力。深入理解新标准对造价管理的影响及应用要点。拓展AI应用工程造价的思路、策略与建议。</w:t>
      </w:r>
    </w:p>
    <w:p w14:paraId="2457E5FE">
      <w:pPr>
        <w:spacing w:line="500" w:lineRule="exact"/>
        <w:ind w:right="119"/>
        <w:rPr>
          <w:rFonts w:ascii="仿宋" w:hAnsi="仿宋" w:eastAsia="仿宋" w:cs="仿宋"/>
          <w:b/>
          <w:bCs/>
          <w:sz w:val="28"/>
          <w:szCs w:val="28"/>
        </w:rPr>
      </w:pPr>
      <w:r>
        <w:rPr>
          <w:rFonts w:hint="eastAsia" w:ascii="仿宋" w:hAnsi="仿宋" w:eastAsia="仿宋" w:cs="仿宋"/>
          <w:b/>
          <w:bCs/>
          <w:sz w:val="28"/>
          <w:szCs w:val="28"/>
        </w:rPr>
        <w:t>二、培训内容</w:t>
      </w:r>
    </w:p>
    <w:p w14:paraId="0C5A6AFA">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（一）2024版《建设工程工程量清单计价标准》——合同风险揭示与防范</w:t>
      </w:r>
    </w:p>
    <w:p w14:paraId="4326ECA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1.适用范围与清单法律性质</w:t>
      </w:r>
    </w:p>
    <w:p w14:paraId="611A93A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2.术语的重要变化与影响</w:t>
      </w:r>
    </w:p>
    <w:p w14:paraId="50F5A54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(1)费率计价项目的风险理解</w:t>
      </w:r>
    </w:p>
    <w:p w14:paraId="07428F0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(2)总承包服务费性质</w:t>
      </w:r>
    </w:p>
    <w:p w14:paraId="4E3B32F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(3)合同清单与投标价的区别</w:t>
      </w:r>
    </w:p>
    <w:p w14:paraId="1A46075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(4)删除原招标控制价术语</w:t>
      </w:r>
    </w:p>
    <w:p w14:paraId="529F397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3.计价方式与合同价格形式</w:t>
      </w:r>
    </w:p>
    <w:p w14:paraId="783A17C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(1)是否存在既固定单价又固定总价合同吗？</w:t>
      </w:r>
    </w:p>
    <w:p w14:paraId="6E71EF9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(2)或者混合价格形式的合同？</w:t>
      </w:r>
    </w:p>
    <w:p w14:paraId="2564C38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4.计价风险与投标报价注意</w:t>
      </w:r>
    </w:p>
    <w:p w14:paraId="4F66E44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(1)未按照招标条件填报暂列金额，竣工结算是否扣减？</w:t>
      </w:r>
    </w:p>
    <w:p w14:paraId="60EF5D8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5.清单漏错项风险与履约承担</w:t>
      </w:r>
    </w:p>
    <w:p w14:paraId="03144A9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(1)关注错误的性质与成因；发现的义务；不可预见的认定标准？</w:t>
      </w:r>
    </w:p>
    <w:p w14:paraId="5DB09B8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6.变更估价与新增工程</w:t>
      </w:r>
    </w:p>
    <w:p w14:paraId="052ACC9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7.市场价格调整与法律变化</w:t>
      </w:r>
    </w:p>
    <w:p w14:paraId="2FD4336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(1)约定的调价与索赔、违约引起的调价应当予以区分</w:t>
      </w:r>
    </w:p>
    <w:p w14:paraId="6662D9B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(2)调价的方法予以关注</w:t>
      </w:r>
    </w:p>
    <w:p w14:paraId="155BC9C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8.期中付款与过程结算的约束力</w:t>
      </w:r>
    </w:p>
    <w:p w14:paraId="1279D43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(1)结算的发起与实施的权利义务</w:t>
      </w:r>
    </w:p>
    <w:p w14:paraId="7288005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(2)过程结算的法律约束力、与进度款证书的区别？</w:t>
      </w:r>
    </w:p>
    <w:p w14:paraId="2A7193F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9.总包服务费的变化与应对</w:t>
      </w:r>
    </w:p>
    <w:p w14:paraId="3A529AC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(1)关注服务方案、工作清单、费率计算基础、支付分解、变更等引发调整、优化管理利益</w:t>
      </w:r>
    </w:p>
    <w:p w14:paraId="294C9B5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10.措施费的分类与变化应对</w:t>
      </w:r>
    </w:p>
    <w:p w14:paraId="38D85D4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(1)措施项目清单编制的十个要素，如何获得编制经验，并确保结果合理</w:t>
      </w:r>
    </w:p>
    <w:p w14:paraId="22E7950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(2)承包人优化措施后的费用利益归属？</w:t>
      </w:r>
    </w:p>
    <w:p w14:paraId="026E530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11.再讲索赔的风险与应对</w:t>
      </w:r>
    </w:p>
    <w:p w14:paraId="063DED2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(1)关注索赔事件、索赔因果关系、损失大小、索赔时限</w:t>
      </w:r>
    </w:p>
    <w:p w14:paraId="7442CBDC">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（二）2024版《建设工程工程量清单计价标准》政策解读</w:t>
      </w:r>
    </w:p>
    <w:p w14:paraId="74C08D3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1.《建设工程工程量清单计价标准》(GB/T50500-2024)与《建设工程工程量清单计价规范》(GB50500-2013)的区别</w:t>
      </w:r>
    </w:p>
    <w:p w14:paraId="7A21B44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2.《建设工程工程量清单计价标准》(GB/T50500-2024)出台的背景及意义</w:t>
      </w:r>
    </w:p>
    <w:p w14:paraId="415B618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3.建设工程工程量清单计价标准》(GB/T50500-2024)修改起草过程中存在的主要问题与解决办法</w:t>
      </w:r>
    </w:p>
    <w:p w14:paraId="1E9C7C0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4.《建设工程工程量清单计价标准》(GB/T50500-2024)修改起草的重大调整和补充</w:t>
      </w:r>
    </w:p>
    <w:p w14:paraId="3CA5BC3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5.《建设工程工程量清单计价标准》(GB/T50500-2024)修改起草的主要内容和亮点</w:t>
      </w:r>
    </w:p>
    <w:p w14:paraId="7406FAF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6.《建设工程工程量清单计价标准》(GB/T50500-2024)实施后造价行业的发展前景</w:t>
      </w:r>
    </w:p>
    <w:p w14:paraId="17E6B250">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（三）2024版《建设工程工程量清单计价标准》内容介绍</w:t>
      </w:r>
    </w:p>
    <w:p w14:paraId="5169974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1.工程量清单编制与应用</w:t>
      </w:r>
    </w:p>
    <w:p w14:paraId="3B5BC05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(1)分部分项工程项目清单编制与应用</w:t>
      </w:r>
    </w:p>
    <w:p w14:paraId="6E370E7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(2)措施项目清单编制与应用</w:t>
      </w:r>
    </w:p>
    <w:p w14:paraId="2620DD5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(3)其他项目清单编制与应用</w:t>
      </w:r>
    </w:p>
    <w:p w14:paraId="2EAE0D4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2.招标工程量清单编制依据</w:t>
      </w:r>
    </w:p>
    <w:p w14:paraId="646E75E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3.措施项目清单编制依据</w:t>
      </w:r>
    </w:p>
    <w:p w14:paraId="723AEDA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4.其他项目清单列项内容</w:t>
      </w:r>
    </w:p>
    <w:p w14:paraId="31A3063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(1)暂列金额</w:t>
      </w:r>
    </w:p>
    <w:p w14:paraId="5C15707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(2)暂估价：包括材料暂估单价、工程设备暂估单价、专业工程暂估价</w:t>
      </w:r>
    </w:p>
    <w:p w14:paraId="57C4371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(3)计日工</w:t>
      </w:r>
    </w:p>
    <w:p w14:paraId="1BF0BF5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(4)总承包服务费</w:t>
      </w:r>
    </w:p>
    <w:p w14:paraId="4CBC299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 xml:space="preserve">5.最高投标限价的编制与应用    </w:t>
      </w:r>
    </w:p>
    <w:p w14:paraId="3E68F10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(1)最高投标限价的编制与复核</w:t>
      </w:r>
    </w:p>
    <w:p w14:paraId="3207A1A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(2)最高投标限价编制与复核依据</w:t>
      </w:r>
    </w:p>
    <w:p w14:paraId="5C0AF84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(3)投诉与处理</w:t>
      </w:r>
    </w:p>
    <w:p w14:paraId="646C22D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6.综合单价的编制与应用</w:t>
      </w:r>
    </w:p>
    <w:p w14:paraId="22076720">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 xml:space="preserve">（四）2024版《建设工程工程量清单计价标准》模式全过程造价精细化管理 </w:t>
      </w:r>
    </w:p>
    <w:p w14:paraId="27EC103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1.招标中工程量清单编制常见错误及规避对策</w:t>
      </w:r>
    </w:p>
    <w:p w14:paraId="268D715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2.最高投标限价编制的原则及投标人投诉的对策</w:t>
      </w:r>
    </w:p>
    <w:p w14:paraId="33CFAF8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3.招标文件与评标方法拟定技巧</w:t>
      </w:r>
    </w:p>
    <w:p w14:paraId="03DB126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4.暂估材料单价和专业工程暂估价的招标建议</w:t>
      </w:r>
    </w:p>
    <w:p w14:paraId="509E3CC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5.投标人投标报价策略及注意事项</w:t>
      </w:r>
    </w:p>
    <w:p w14:paraId="11EE765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6.招投标阶段发包人注意事项</w:t>
      </w:r>
    </w:p>
    <w:p w14:paraId="7859886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7.清单计价规范下招投标阶段评标流程及要点</w:t>
      </w:r>
    </w:p>
    <w:p w14:paraId="4A49582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8.工程招标中标后的后续工作及合同交底要点</w:t>
      </w:r>
    </w:p>
    <w:p w14:paraId="29025C1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9.合同约定环节造价精细化管控关键点操作</w:t>
      </w:r>
    </w:p>
    <w:p w14:paraId="638196E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 xml:space="preserve">10.合同约定造价内容事项及发生争议的处理原则 </w:t>
      </w:r>
    </w:p>
    <w:p w14:paraId="0AFC1B4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11.工程变更引发价款调整的计价技术</w:t>
      </w:r>
    </w:p>
    <w:p w14:paraId="6A12CDF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12.索赔调整的计价技术</w:t>
      </w:r>
    </w:p>
    <w:p w14:paraId="7DE9C2F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13.现场签证调整计价</w:t>
      </w:r>
    </w:p>
    <w:p w14:paraId="42F14DE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14.导致措施项目费用调整的计价办法</w:t>
      </w:r>
    </w:p>
    <w:p w14:paraId="1650D29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15.工程结算管理</w:t>
      </w:r>
    </w:p>
    <w:p w14:paraId="2666786E">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（五）2024版清单修订深度解读</w:t>
      </w:r>
    </w:p>
    <w:p w14:paraId="703E7B2F">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1.修订背景</w:t>
      </w:r>
    </w:p>
    <w:p w14:paraId="3493EFB0">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2.修订目的</w:t>
      </w:r>
    </w:p>
    <w:p w14:paraId="636EEA4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(1)修订目的</w:t>
      </w:r>
    </w:p>
    <w:p w14:paraId="73B0B69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(2)变化的深层原因及修订思路</w:t>
      </w:r>
    </w:p>
    <w:p w14:paraId="316F0433">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3.修订过程</w:t>
      </w:r>
    </w:p>
    <w:p w14:paraId="79DC3961">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4.特点</w:t>
      </w:r>
    </w:p>
    <w:p w14:paraId="7DCC1EF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(1)8大特点</w:t>
      </w:r>
    </w:p>
    <w:p w14:paraId="4ECBD63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(2)明确计价活动的原则</w:t>
      </w:r>
    </w:p>
    <w:p w14:paraId="27317B8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(3)梳理清单费用的组成</w:t>
      </w:r>
    </w:p>
    <w:p w14:paraId="66B00AC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(4)规范风险分担的方式</w:t>
      </w:r>
    </w:p>
    <w:p w14:paraId="1A27F18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(5)改进计量计价的规则</w:t>
      </w:r>
    </w:p>
    <w:p w14:paraId="42772DA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(6)完善造价管控的措施</w:t>
      </w:r>
    </w:p>
    <w:p w14:paraId="41CBD27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(7)优化价款调整的方法</w:t>
      </w:r>
    </w:p>
    <w:p w14:paraId="03725D2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(8)严格价款支付的管理</w:t>
      </w:r>
    </w:p>
    <w:p w14:paraId="296EA5B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(9)深化多元解纷的机制</w:t>
      </w:r>
    </w:p>
    <w:p w14:paraId="3F5F7E6C">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5.变化</w:t>
      </w:r>
    </w:p>
    <w:p w14:paraId="4A6C2D3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(1)主要变化</w:t>
      </w:r>
    </w:p>
    <w:p w14:paraId="6B409AE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(2)结构变化</w:t>
      </w:r>
    </w:p>
    <w:p w14:paraId="03BECB5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(3)内容变化</w:t>
      </w:r>
    </w:p>
    <w:p w14:paraId="1EEB428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(4)要求变化</w:t>
      </w:r>
    </w:p>
    <w:p w14:paraId="0DEB1D36">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（六）2024版清单修订变化应用实务</w:t>
      </w:r>
    </w:p>
    <w:p w14:paraId="3E271209">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1.主要变化条款解读与应用实务</w:t>
      </w:r>
    </w:p>
    <w:p w14:paraId="30C8559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(1)招标控制价、最高投标限价、标底之间的关系、区别与应用</w:t>
      </w:r>
    </w:p>
    <w:p w14:paraId="0490E70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(2)利益冲突</w:t>
      </w:r>
    </w:p>
    <w:p w14:paraId="196D2CB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(3)清单缺陷</w:t>
      </w:r>
    </w:p>
    <w:p w14:paraId="2A1BA16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(4)施工过程结算</w:t>
      </w:r>
    </w:p>
    <w:p w14:paraId="1053C00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(5)结算</w:t>
      </w:r>
    </w:p>
    <w:p w14:paraId="7F0ADC1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(6)新增工程</w:t>
      </w:r>
    </w:p>
    <w:p w14:paraId="3106551A">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2.全过程造价管理的实务指引</w:t>
      </w:r>
    </w:p>
    <w:p w14:paraId="4D0728E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(1)分部分项工程应用实务</w:t>
      </w:r>
    </w:p>
    <w:p w14:paraId="65B10D7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(2)措施项目应用实务</w:t>
      </w:r>
    </w:p>
    <w:p w14:paraId="6B50C51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(3)材料暂估价应用实务</w:t>
      </w:r>
    </w:p>
    <w:p w14:paraId="272E742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(4)专业工程暂估价应用实务</w:t>
      </w:r>
    </w:p>
    <w:p w14:paraId="588F065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(5)计日工应用实务</w:t>
      </w:r>
    </w:p>
    <w:p w14:paraId="03F5A09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(6)总包服务费应用实务</w:t>
      </w:r>
    </w:p>
    <w:p w14:paraId="3587A29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(7)物价变化合同价格调整应用实务</w:t>
      </w:r>
    </w:p>
    <w:p w14:paraId="0449E94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(8)24清单对分包管理的应用</w:t>
      </w:r>
    </w:p>
    <w:p w14:paraId="08089AC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(9)造价数字化管理与应用</w:t>
      </w:r>
    </w:p>
    <w:p w14:paraId="06A10566">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（七）建设项目全过程造价管控与结算审计财评</w:t>
      </w:r>
    </w:p>
    <w:p w14:paraId="53C1FDD7">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1.招投标阶段造价问题</w:t>
      </w:r>
    </w:p>
    <w:p w14:paraId="79AEEF4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(1)非必须招标项目采取邀请招标方式确定中标人，中标人与招标人实际控股人为同一人，该招标是否有效？</w:t>
      </w:r>
    </w:p>
    <w:p w14:paraId="6AFB18A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(2)招标文件中技术参数要求有误与现场实际情况不符，如何处理？</w:t>
      </w:r>
    </w:p>
    <w:p w14:paraId="21F83AC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(3)专业暂估价，建设单位要求承包人公开招标，承包人想进行邀请招标，如何处理？</w:t>
      </w:r>
    </w:p>
    <w:p w14:paraId="5AEC5E3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(4)总包合同中专业工程进行了公开招投标没有提及总承包服务费，整个流程已经结束了，签合同的时候可以约定吗?怎么约定?</w:t>
      </w:r>
    </w:p>
    <w:p w14:paraId="176D00C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(5)工程量清单存在错项、漏项，如何处理？</w:t>
      </w:r>
    </w:p>
    <w:p w14:paraId="47F4519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(6)工程量清单漏项与缺项有何不同？招标时措施项目清单漏项，结算时是否可以计取？</w:t>
      </w:r>
    </w:p>
    <w:p w14:paraId="42C39D7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(7)清单特征描述为“见设计图纸”是否属于漏项？</w:t>
      </w:r>
    </w:p>
    <w:p w14:paraId="556A5977">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(8)清单与图纸不一致如何应对？</w:t>
      </w:r>
    </w:p>
    <w:p w14:paraId="570DE45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(9)公司内部竞标，智能控制系统，施工图纸深度不够，图纸说明施工时深化设计，分包报价很低，与实际差异巨大，如何处理？</w:t>
      </w:r>
    </w:p>
    <w:p w14:paraId="374B3C9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(10)暂估价材料分多次招标，不同次招标的中标价格差别很大，如何处理？</w:t>
      </w:r>
    </w:p>
    <w:p w14:paraId="512C7D9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(11)清单招标，陶瓷地砖，有中标价格，甲方要求乙方必须采购中标价格的陶瓷地砖，如何处理？</w:t>
      </w:r>
    </w:p>
    <w:p w14:paraId="484E2FD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(12)要求投标人经现场踏勘后，自行考虑的费用，如何处理？</w:t>
      </w:r>
    </w:p>
    <w:p w14:paraId="0F8026F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(13)总承包服务费未发生，预算包干费，按合同建筑面积计取是否可行？</w:t>
      </w:r>
    </w:p>
    <w:p w14:paraId="4CEC67E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(14)未列入暂估价的专业工程，乙方会上报远高于市场价的价格，甲方对于价格是否有权干涉?</w:t>
      </w:r>
    </w:p>
    <w:p w14:paraId="0BDA748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(15)总价措施费，图纸清单没有深基坑支护的专项设计，危大工程，如何处理？招标答疑未提出，视为投标报价已考虑？专项施工方案论证、专项设计，费用承担？如何支付？</w:t>
      </w:r>
    </w:p>
    <w:p w14:paraId="5BD8CE18">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2.合同签订阶段造价问题</w:t>
      </w:r>
    </w:p>
    <w:p w14:paraId="5BB314D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(1)固定单价合同，合同约定签证和一般变更不允许调整，投标单位应充分考虑在投标报价中，这条偏向于总价合同的条款，是否成立？</w:t>
      </w:r>
    </w:p>
    <w:p w14:paraId="7A6DA46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(2)招标文件规定，招标人不对限额清单准确性负责，限额清单的工程量为中标人必须完成的基本工程量，且总价包干，中标人承担除按合同约定进行调价外的一切风险，如何处理？</w:t>
      </w:r>
    </w:p>
    <w:p w14:paraId="60078A4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(3)合同约定总价包干，没有招标清单，如何应对？</w:t>
      </w:r>
    </w:p>
    <w:p w14:paraId="46B3B54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(4)图纸设计深度不够，在合同没有约定的情况下，新增的措施费应该按实计算还是按投标费率计取？</w:t>
      </w:r>
    </w:p>
    <w:p w14:paraId="09E063C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(5)单价合同，签合同时是否可以将报低的分部工程，单独约定为总价计价?</w:t>
      </w:r>
    </w:p>
    <w:p w14:paraId="02B672E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(6)合同协议书、投标文件、合同专用条款等组成施工合同的文件内容不一致，如何处理？</w:t>
      </w:r>
    </w:p>
    <w:p w14:paraId="65BD41C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(7)风险范围是否包括设计变更？</w:t>
      </w:r>
    </w:p>
    <w:p w14:paraId="30D72AE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(8)建设方如果不补充增建工程的招投标手续，直接使用原合同并将加建工程当做增项，是否合法?</w:t>
      </w:r>
    </w:p>
    <w:p w14:paraId="012762C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(9)为办理施工许可证，签署的空白施工合同，后期双方对于主要合同条款未达成共识，如何处理？</w:t>
      </w:r>
    </w:p>
    <w:p w14:paraId="5B2F7F9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(10)固定总价合同，地勘报告超过预期，导致施工费用增加，如何处理？</w:t>
      </w:r>
    </w:p>
    <w:p w14:paraId="326C9B9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(11)材料调价差的风险范围？材料价差变化幅度的计算方式？调差材料的数量计算方式？价格调整方式？调差税金计取方式？</w:t>
      </w:r>
    </w:p>
    <w:p w14:paraId="78FB7782">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(12)不可预见的相关费用和风险，能否包干？</w:t>
      </w:r>
    </w:p>
    <w:p w14:paraId="4044A99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(13)中标清单中总价与单价不符的，如何处理？清标发现、合同签订前发现、合同签订后发现，如何处理？</w:t>
      </w:r>
    </w:p>
    <w:p w14:paraId="3554C98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(14)总价合同要考虑总价对应的范围，如何索赔？</w:t>
      </w:r>
    </w:p>
    <w:p w14:paraId="5C859D7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(15)地勘报告出现错误时，清单项目特征如何调整？</w:t>
      </w:r>
    </w:p>
    <w:p w14:paraId="09D9A606">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3.履约阶段造价问题</w:t>
      </w:r>
    </w:p>
    <w:p w14:paraId="0E12F2C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(1)不对分包单位进行退场处理，不重新招标的情况下，建设单位在不违反主合同，材料价差如何调整？</w:t>
      </w:r>
    </w:p>
    <w:p w14:paraId="3D2781F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(2)招标材料无品牌要求，后甲方指定了品牌，如何调整？</w:t>
      </w:r>
    </w:p>
    <w:p w14:paraId="77DCB3A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(3)图纸设计变更，场内道路和交通设施费用如何调整？</w:t>
      </w:r>
    </w:p>
    <w:p w14:paraId="45F8454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(4)图纸未经深化，计容面积大，单价低，图纸完善后，建筑面积小，劳务不同意按原报价现面积结算？</w:t>
      </w:r>
    </w:p>
    <w:p w14:paraId="1E258B7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(5)无投标的材料消耗量，如何调材料价差？</w:t>
      </w:r>
    </w:p>
    <w:p w14:paraId="4B3DC1D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(6)招标策划有误，调减项目实施内容，如何处理？</w:t>
      </w:r>
    </w:p>
    <w:p w14:paraId="34DB101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(7)单价合同，合同约定变更组价采用清单单价，但相同项目特征，清单单价有高有低，如何处理？</w:t>
      </w:r>
    </w:p>
    <w:p w14:paraId="5B9A971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(8)变更单价如何确定？是否受13清单规范之15%约束？</w:t>
      </w:r>
    </w:p>
    <w:p w14:paraId="70A5395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(9)按项包干的措施费，能否按实调整？</w:t>
      </w:r>
    </w:p>
    <w:p w14:paraId="304BB23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(10)为承包方入场施工创造条件，向承包方提供施工场地，清除障碍，与索赔？</w:t>
      </w:r>
    </w:p>
    <w:p w14:paraId="36245F0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(11)甲方原因停工，乙方能获得什么赔偿？临建措施索赔依据？</w:t>
      </w:r>
    </w:p>
    <w:p w14:paraId="75DD28A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(12)合同范围内，措施项目漏项，报价能否自行增加？</w:t>
      </w:r>
    </w:p>
    <w:p w14:paraId="7B61675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(13)工程已验收合格，实际做法与原设计做法有偏差，能否执行原投标单价？</w:t>
      </w:r>
    </w:p>
    <w:p w14:paraId="53C88EC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(14)单方提出因工程质量问题，扣减工程量的做法是否合理？</w:t>
      </w:r>
    </w:p>
    <w:p w14:paraId="2B9D1D54">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(15)材料价格严重偏高，现场管理费严重偏高，如何处理？</w:t>
      </w:r>
    </w:p>
    <w:p w14:paraId="49C7593A">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4.结算阶段造价问题</w:t>
      </w:r>
    </w:p>
    <w:p w14:paraId="3663281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(1)没有详细的招投标清单怎么结算？</w:t>
      </w:r>
    </w:p>
    <w:p w14:paraId="38C09EB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(2)没有项目特征，没有单位，投标时只报一笔费用，如何结算？</w:t>
      </w:r>
    </w:p>
    <w:p w14:paraId="186AAC9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(3)图纸量少于招标量，如何结算？按总价合同结算还是按实际完成的图纸结算？</w:t>
      </w:r>
    </w:p>
    <w:p w14:paraId="7E0E8E5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(4)图纸没有，清单增列部分报高价了，如何处理？</w:t>
      </w:r>
    </w:p>
    <w:p w14:paraId="4941AF6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(5)招标清单按项计取的措施项，能否据实结算？</w:t>
      </w:r>
    </w:p>
    <w:p w14:paraId="650A6F9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(6)招标清单措施项，无清单量，如何结算？</w:t>
      </w:r>
    </w:p>
    <w:p w14:paraId="68BD926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(7)招标清单漏项的专业工程暂估价费用，应该由哪一方来承担？</w:t>
      </w:r>
    </w:p>
    <w:p w14:paraId="6055C08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(8)招标控制价早，工程一直迟迟未开工，各种原材料上涨，招标控制价又没有计取暂列金额，结算时应怎样解决？</w:t>
      </w:r>
    </w:p>
    <w:p w14:paraId="6C0B883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(9)单价合同，中标清单分部分项工程总价和单价不符，如何处理？</w:t>
      </w:r>
    </w:p>
    <w:p w14:paraId="10E88D73">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(10)工程未完工，脚手架、垂运费、安全文明施工费，如何计取？</w:t>
      </w:r>
    </w:p>
    <w:p w14:paraId="10415D9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(11)价高量减，如何结算?</w:t>
      </w:r>
    </w:p>
    <w:p w14:paraId="1993B15F">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(12)甲供材结算，投标报价的辅助材料费能否扣减？</w:t>
      </w:r>
    </w:p>
    <w:p w14:paraId="0F9AE2DA">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(13)甲供材扣除，是否算损耗量？</w:t>
      </w:r>
    </w:p>
    <w:p w14:paraId="684A517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(14)增建工程尚未签订合同，双方口头约定计价依据暂参照原合同，如何处理？</w:t>
      </w:r>
    </w:p>
    <w:p w14:paraId="07B89C4E">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(15)补充协议对该协议签订前施工完的工程是否有约束力?</w:t>
      </w:r>
    </w:p>
    <w:p w14:paraId="1EFA0EA6">
      <w:pPr>
        <w:spacing w:line="500" w:lineRule="exact"/>
        <w:ind w:right="119" w:firstLine="560"/>
        <w:rPr>
          <w:rFonts w:ascii="仿宋" w:hAnsi="仿宋" w:eastAsia="仿宋" w:cs="仿宋"/>
          <w:b/>
          <w:bCs/>
          <w:sz w:val="28"/>
          <w:szCs w:val="28"/>
        </w:rPr>
      </w:pPr>
      <w:r>
        <w:rPr>
          <w:rFonts w:hint="eastAsia" w:ascii="仿宋" w:hAnsi="仿宋" w:eastAsia="仿宋" w:cs="仿宋"/>
          <w:b/>
          <w:bCs/>
          <w:sz w:val="28"/>
          <w:szCs w:val="28"/>
        </w:rPr>
        <w:t>5.结算审计与财政评审阶段造价问题</w:t>
      </w:r>
    </w:p>
    <w:p w14:paraId="41E18C1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(1)信息价偏高，能否按市场价格进行审定？</w:t>
      </w:r>
    </w:p>
    <w:p w14:paraId="5EA0541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(2)当对建设单位报送的招标控制价与结算进行评审时，发现报送单位报送的招标控制价与结算存在缺项、漏项及与清单描述与图纸不符时如何处理？</w:t>
      </w:r>
    </w:p>
    <w:p w14:paraId="55A6CA2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(3)结算审核，能否依据乙方提供的发票审减？</w:t>
      </w:r>
    </w:p>
    <w:p w14:paraId="0832E261">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(4)结算审核时，审核单位对原有图纸中的工程量是否要重新计算、重新核对？</w:t>
      </w:r>
    </w:p>
    <w:p w14:paraId="2276FA9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(5)结算时，审计单位以调整人工费结算标准缺乏契约依据为由，不予调整，如何应对？</w:t>
      </w:r>
    </w:p>
    <w:p w14:paraId="184EF9A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(6)结算书只有造价咨询企业的公章，没有造价人员签字和盖职业印章，是否有效？</w:t>
      </w:r>
    </w:p>
    <w:p w14:paraId="4F3765B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(7)审计方能否修改预算单价和合同总价，是否违背合同？</w:t>
      </w:r>
    </w:p>
    <w:p w14:paraId="0BC94C50">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(8)审计方以投标和实际施工方式不一致为由，要求重新组价，是否合理？</w:t>
      </w:r>
    </w:p>
    <w:p w14:paraId="53551B39">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(9)在结算项目评审中，结算造价超中标造价30％以上，超出新增部分有补充协议，若遇到这种情况处理方式和意见是什么？</w:t>
      </w:r>
    </w:p>
    <w:p w14:paraId="16D8F845">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(10)在评审过程中因部分材料存在异议如设备安装，遇到这种材料异议大，但施工单位提供购买时发票的，该部分材料价如何调整？</w:t>
      </w:r>
    </w:p>
    <w:p w14:paraId="735DBF1B">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(11)在与建设单位与施工单位进行核对时，当出现意见不统一时，应如何进行解决？是咨询市、省定额站？是否为权威机构，咨询后如何形成文字，是出具函？</w:t>
      </w:r>
    </w:p>
    <w:p w14:paraId="7FBA286C">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(12)暂估价，认质认价，结算审计能否推翻？</w:t>
      </w:r>
    </w:p>
    <w:p w14:paraId="79B48926">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(13)政府投资项目财政评审范围外的货物、设备、软件的总包采购价格确定方式？</w:t>
      </w:r>
    </w:p>
    <w:p w14:paraId="2FA3564D">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(14)总价合同竣工后，审计要求超量不增加，少量扣除，是否合理？</w:t>
      </w:r>
    </w:p>
    <w:p w14:paraId="0C240978">
      <w:pPr>
        <w:spacing w:line="500" w:lineRule="exact"/>
        <w:ind w:right="119" w:firstLine="560"/>
        <w:rPr>
          <w:rFonts w:ascii="仿宋" w:hAnsi="仿宋" w:eastAsia="仿宋" w:cs="仿宋"/>
          <w:sz w:val="28"/>
          <w:szCs w:val="28"/>
        </w:rPr>
      </w:pPr>
      <w:r>
        <w:rPr>
          <w:rFonts w:hint="eastAsia" w:ascii="仿宋" w:hAnsi="仿宋" w:eastAsia="仿宋" w:cs="仿宋"/>
          <w:sz w:val="28"/>
          <w:szCs w:val="28"/>
        </w:rPr>
        <w:t>(15)不平衡报价，审计能否要求重新组价？</w:t>
      </w:r>
    </w:p>
    <w:p w14:paraId="474BA235">
      <w:pPr>
        <w:spacing w:line="500" w:lineRule="exact"/>
        <w:ind w:right="119"/>
        <w:rPr>
          <w:rFonts w:ascii="仿宋" w:hAnsi="仿宋" w:eastAsia="仿宋" w:cs="仿宋"/>
          <w:b/>
          <w:bCs/>
          <w:sz w:val="28"/>
          <w:szCs w:val="28"/>
        </w:rPr>
      </w:pPr>
      <w:r>
        <w:rPr>
          <w:rFonts w:hint="eastAsia" w:ascii="仿宋" w:hAnsi="仿宋" w:eastAsia="仿宋" w:cs="仿宋"/>
          <w:b/>
          <w:bCs/>
          <w:sz w:val="28"/>
          <w:szCs w:val="28"/>
        </w:rPr>
        <w:t>二、培训对象</w:t>
      </w:r>
    </w:p>
    <w:p w14:paraId="422969E5">
      <w:pPr>
        <w:spacing w:line="500" w:lineRule="exact"/>
        <w:ind w:right="119" w:firstLine="560" w:firstLineChars="200"/>
        <w:rPr>
          <w:rFonts w:ascii="仿宋" w:hAnsi="仿宋" w:eastAsia="仿宋" w:cs="仿宋"/>
          <w:sz w:val="28"/>
          <w:szCs w:val="28"/>
        </w:rPr>
      </w:pPr>
      <w:r>
        <w:rPr>
          <w:rFonts w:hint="eastAsia" w:ascii="仿宋" w:hAnsi="仿宋" w:eastAsia="仿宋" w:cs="仿宋"/>
          <w:sz w:val="28"/>
          <w:szCs w:val="28"/>
        </w:rPr>
        <w:t>建设行政主管部门、审计部门及建设工程相关行业协会负责人；建设业主单位及工程建设企业（工程承包、建筑施工、勘察设计、房地产开发、工程项目管理、工程监理、工程咨询、工程造价、招标代理等）总经理、总造价顾问、法务总监、总工程师，经营管理、项目管理、市场开发、商务谈判、招标投标、合同管理、成本管理、法律事务等中高级管理人员以及业务相关的直线经理人等；律师事务所律师；高等院校、科研机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医院</w:t>
      </w:r>
      <w:r>
        <w:rPr>
          <w:rFonts w:hint="eastAsia" w:ascii="仿宋" w:hAnsi="仿宋" w:eastAsia="仿宋" w:cs="仿宋"/>
          <w:sz w:val="28"/>
          <w:szCs w:val="28"/>
        </w:rPr>
        <w:t>有关人员等。</w:t>
      </w:r>
    </w:p>
    <w:p w14:paraId="0A69167B">
      <w:pPr>
        <w:spacing w:line="500" w:lineRule="exact"/>
        <w:ind w:right="119"/>
        <w:rPr>
          <w:rFonts w:ascii="仿宋" w:hAnsi="仿宋" w:eastAsia="仿宋" w:cs="仿宋"/>
          <w:b/>
          <w:bCs/>
          <w:kern w:val="0"/>
          <w:sz w:val="28"/>
          <w:szCs w:val="28"/>
        </w:rPr>
      </w:pPr>
      <w:r>
        <w:rPr>
          <w:rFonts w:hint="eastAsia" w:ascii="仿宋" w:hAnsi="仿宋" w:eastAsia="仿宋" w:cs="仿宋"/>
          <w:b/>
          <w:bCs/>
          <w:kern w:val="0"/>
          <w:sz w:val="28"/>
          <w:szCs w:val="28"/>
        </w:rPr>
        <w:t>三、邀请专家</w:t>
      </w:r>
    </w:p>
    <w:p w14:paraId="2EC1B8E7">
      <w:pPr>
        <w:spacing w:line="500" w:lineRule="exact"/>
        <w:ind w:right="119" w:firstLine="560"/>
        <w:rPr>
          <w:rFonts w:ascii="仿宋" w:hAnsi="仿宋" w:eastAsia="仿宋" w:cs="仿宋"/>
          <w:b/>
          <w:bCs/>
          <w:kern w:val="0"/>
          <w:sz w:val="28"/>
          <w:szCs w:val="28"/>
        </w:rPr>
      </w:pPr>
      <w:r>
        <w:rPr>
          <w:rFonts w:hint="eastAsia" w:ascii="仿宋" w:hAnsi="仿宋" w:eastAsia="仿宋" w:cs="仿宋"/>
          <w:b/>
          <w:bCs/>
          <w:kern w:val="0"/>
          <w:sz w:val="28"/>
          <w:szCs w:val="28"/>
        </w:rPr>
        <w:t>谭敬慧老师</w:t>
      </w:r>
    </w:p>
    <w:p w14:paraId="690D544C">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谭老师，2024版《建设工程工程量清单计价标准》起草组专家成员；</w:t>
      </w:r>
      <w:r>
        <w:rPr>
          <w:rFonts w:ascii="仿宋" w:hAnsi="仿宋" w:eastAsia="仿宋" w:cs="仿宋"/>
          <w:kern w:val="0"/>
          <w:sz w:val="28"/>
          <w:szCs w:val="28"/>
        </w:rPr>
        <w:t>住房和城乡建设部</w:t>
      </w:r>
      <w:r>
        <w:rPr>
          <w:rFonts w:hint="eastAsia" w:ascii="仿宋" w:hAnsi="仿宋" w:eastAsia="仿宋" w:cs="仿宋"/>
          <w:kern w:val="0"/>
          <w:sz w:val="28"/>
          <w:szCs w:val="28"/>
        </w:rPr>
        <w:t>法律顾问、国家发改委和财政部PPP双库专家；《民法典》、《建筑法》、《招标投标法》立法专家；贸仲、北仲等全国多家机构仲裁员；北京市君都律师事务所主任。</w:t>
      </w:r>
    </w:p>
    <w:p w14:paraId="323D5588">
      <w:pPr>
        <w:spacing w:line="500" w:lineRule="exact"/>
        <w:ind w:right="119" w:firstLine="560"/>
        <w:rPr>
          <w:rFonts w:ascii="仿宋" w:hAnsi="仿宋" w:eastAsia="仿宋" w:cs="仿宋"/>
          <w:b/>
          <w:bCs/>
          <w:kern w:val="0"/>
          <w:sz w:val="28"/>
          <w:szCs w:val="28"/>
        </w:rPr>
      </w:pPr>
      <w:r>
        <w:rPr>
          <w:rFonts w:ascii="仿宋" w:hAnsi="仿宋" w:eastAsia="仿宋" w:cs="仿宋"/>
          <w:b/>
          <w:bCs/>
          <w:kern w:val="0"/>
          <w:sz w:val="28"/>
          <w:szCs w:val="28"/>
        </w:rPr>
        <w:t>贾宏俊</w:t>
      </w:r>
      <w:r>
        <w:rPr>
          <w:rFonts w:hint="eastAsia" w:ascii="仿宋" w:hAnsi="仿宋" w:eastAsia="仿宋" w:cs="仿宋"/>
          <w:b/>
          <w:bCs/>
          <w:kern w:val="0"/>
          <w:sz w:val="28"/>
          <w:szCs w:val="28"/>
        </w:rPr>
        <w:t>老师</w:t>
      </w:r>
    </w:p>
    <w:p w14:paraId="20892782">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贾老师，2024</w:t>
      </w:r>
      <w:r>
        <w:rPr>
          <w:rFonts w:ascii="仿宋" w:hAnsi="仿宋" w:eastAsia="仿宋" w:cs="仿宋"/>
          <w:kern w:val="0"/>
          <w:sz w:val="28"/>
          <w:szCs w:val="28"/>
        </w:rPr>
        <w:t>版《建设工程工程量清单计价标准》</w:t>
      </w:r>
      <w:r>
        <w:rPr>
          <w:rFonts w:hint="eastAsia" w:ascii="仿宋" w:hAnsi="仿宋" w:eastAsia="仿宋" w:cs="仿宋"/>
          <w:kern w:val="0"/>
          <w:sz w:val="28"/>
          <w:szCs w:val="28"/>
        </w:rPr>
        <w:t>审查</w:t>
      </w:r>
      <w:r>
        <w:rPr>
          <w:rFonts w:ascii="仿宋" w:hAnsi="仿宋" w:eastAsia="仿宋" w:cs="仿宋"/>
          <w:kern w:val="0"/>
          <w:sz w:val="28"/>
          <w:szCs w:val="28"/>
        </w:rPr>
        <w:t>专家组成员、中国工程项目管理委员会专家办公室副主任、住房和城乡建设部战略发展专家委员、中国建设工程造价管理协会专家委员</w:t>
      </w:r>
      <w:r>
        <w:rPr>
          <w:rFonts w:hint="eastAsia" w:ascii="仿宋" w:hAnsi="仿宋" w:eastAsia="仿宋" w:cs="仿宋"/>
          <w:kern w:val="0"/>
          <w:sz w:val="28"/>
          <w:szCs w:val="28"/>
        </w:rPr>
        <w:t>。</w:t>
      </w:r>
    </w:p>
    <w:p w14:paraId="61AF444A">
      <w:pPr>
        <w:spacing w:line="500" w:lineRule="exact"/>
        <w:ind w:right="119" w:firstLine="560"/>
        <w:rPr>
          <w:rFonts w:ascii="仿宋" w:hAnsi="仿宋" w:eastAsia="仿宋" w:cs="仿宋"/>
          <w:b/>
          <w:bCs/>
          <w:kern w:val="0"/>
          <w:sz w:val="28"/>
          <w:szCs w:val="28"/>
        </w:rPr>
      </w:pPr>
      <w:r>
        <w:rPr>
          <w:rFonts w:hint="eastAsia" w:ascii="仿宋" w:hAnsi="仿宋" w:eastAsia="仿宋" w:cs="仿宋"/>
          <w:b/>
          <w:bCs/>
          <w:kern w:val="0"/>
          <w:sz w:val="28"/>
          <w:szCs w:val="28"/>
        </w:rPr>
        <w:t>罗小兰老师</w:t>
      </w:r>
    </w:p>
    <w:p w14:paraId="00BB468A">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罗老师，2024版《建设工程工程量清单计价标准》主要起草人，众为工程咨询有限公司总经理；FIDIC国际认证咨询工程师，住房和城乡建设部“总对总”工程纠纷调解员，广东省工程造价协会专家证人发展委员会专家证人，澳门工程造价师学会副理事长。</w:t>
      </w:r>
    </w:p>
    <w:p w14:paraId="4F1B4C99">
      <w:pPr>
        <w:spacing w:line="500" w:lineRule="exact"/>
        <w:ind w:right="119" w:firstLine="560"/>
        <w:rPr>
          <w:rFonts w:ascii="仿宋" w:hAnsi="仿宋" w:eastAsia="仿宋" w:cs="仿宋"/>
          <w:b/>
          <w:bCs/>
          <w:kern w:val="0"/>
          <w:sz w:val="28"/>
          <w:szCs w:val="28"/>
        </w:rPr>
      </w:pPr>
      <w:r>
        <w:rPr>
          <w:rFonts w:hint="eastAsia" w:ascii="仿宋" w:hAnsi="仿宋" w:eastAsia="仿宋" w:cs="仿宋"/>
          <w:b/>
          <w:bCs/>
          <w:kern w:val="0"/>
          <w:sz w:val="28"/>
          <w:szCs w:val="28"/>
        </w:rPr>
        <w:t>刘雷老师</w:t>
      </w:r>
    </w:p>
    <w:p w14:paraId="69675888">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刘老师，南京审计大学工程管理学院造价管理系（江苏省公共工程审计重点实验室），副教授，博士。</w:t>
      </w:r>
      <w:r>
        <w:rPr>
          <w:rFonts w:ascii="仿宋" w:hAnsi="仿宋" w:eastAsia="仿宋" w:cs="仿宋"/>
          <w:kern w:val="0"/>
          <w:sz w:val="28"/>
          <w:szCs w:val="28"/>
        </w:rPr>
        <w:t>主要从事工程管理、EPC工程总承包、造价管理与审计等方面的研究，长期担任国家审计机关、政府机构、大型国有企业“工程总承包及EPC项目管理、建设工程招投标与合同管理、建设工程造价与审计课程”的主讲专家，授课内容详实，理论深厚，而且善于调动学员积极性，通过发问、启发、学生参与等多种形式互动，授课效果非常好，深受广大学员喜欢。</w:t>
      </w:r>
    </w:p>
    <w:p w14:paraId="7E436FF5">
      <w:pPr>
        <w:spacing w:line="500" w:lineRule="exact"/>
        <w:ind w:right="119" w:firstLine="560"/>
        <w:rPr>
          <w:rFonts w:ascii="仿宋" w:hAnsi="仿宋" w:eastAsia="仿宋" w:cs="仿宋"/>
          <w:b/>
          <w:bCs/>
          <w:kern w:val="0"/>
          <w:sz w:val="28"/>
          <w:szCs w:val="28"/>
        </w:rPr>
      </w:pPr>
      <w:r>
        <w:rPr>
          <w:rFonts w:hint="eastAsia" w:ascii="仿宋" w:hAnsi="仿宋" w:eastAsia="仿宋" w:cs="仿宋"/>
          <w:b/>
          <w:bCs/>
          <w:kern w:val="0"/>
          <w:sz w:val="28"/>
          <w:szCs w:val="28"/>
        </w:rPr>
        <w:t>罗燕老师</w:t>
      </w:r>
    </w:p>
    <w:p w14:paraId="37422819">
      <w:pPr>
        <w:spacing w:line="500" w:lineRule="exact"/>
        <w:ind w:right="119" w:firstLine="560"/>
        <w:rPr>
          <w:rFonts w:ascii="仿宋" w:hAnsi="仿宋" w:eastAsia="仿宋" w:cs="仿宋"/>
          <w:kern w:val="0"/>
          <w:sz w:val="28"/>
          <w:szCs w:val="28"/>
        </w:rPr>
      </w:pPr>
      <w:r>
        <w:rPr>
          <w:rFonts w:hint="eastAsia" w:ascii="仿宋" w:hAnsi="仿宋" w:eastAsia="仿宋" w:cs="仿宋"/>
          <w:kern w:val="0"/>
          <w:sz w:val="28"/>
          <w:szCs w:val="28"/>
        </w:rPr>
        <w:t>罗老师，2024版《建设工程工程量清单计价标准》主要起草人，众为工程咨询有限公司副总经理；FIDIC国际认证咨询工程师，住房和城乡建设部“总对总”工程纠纷调解员，广东省建设工程标准定额站造价纠纷处理专家，广东省工程造价协会专家证人发展委员会专家证人。</w:t>
      </w:r>
    </w:p>
    <w:p w14:paraId="5B89ABDD">
      <w:pPr>
        <w:spacing w:line="500" w:lineRule="exact"/>
        <w:ind w:right="119"/>
        <w:rPr>
          <w:rFonts w:ascii="仿宋" w:hAnsi="仿宋" w:eastAsia="仿宋" w:cs="仿宋"/>
          <w:b/>
          <w:bCs/>
          <w:kern w:val="0"/>
          <w:sz w:val="28"/>
          <w:szCs w:val="28"/>
        </w:rPr>
      </w:pPr>
      <w:r>
        <w:rPr>
          <w:rFonts w:hint="eastAsia" w:ascii="仿宋" w:hAnsi="仿宋" w:eastAsia="仿宋" w:cs="仿宋"/>
          <w:b/>
          <w:bCs/>
          <w:kern w:val="0"/>
          <w:sz w:val="28"/>
          <w:szCs w:val="28"/>
        </w:rPr>
        <w:t>四、时间地点</w:t>
      </w:r>
    </w:p>
    <w:p w14:paraId="73299844">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2025年07月23日-27日（23日全天报到）  南宁市</w:t>
      </w:r>
    </w:p>
    <w:p w14:paraId="38380C08">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2025年08月07日-11日（07日全天报到）  太原市</w:t>
      </w:r>
    </w:p>
    <w:p w14:paraId="519DB345">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2025年08月20日-24日（20日全天报到）  成都市</w:t>
      </w:r>
    </w:p>
    <w:p w14:paraId="3FEDF280">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2025年09月11日-15日（11日全天报到）  杭州市</w:t>
      </w:r>
    </w:p>
    <w:p w14:paraId="687C969C">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2025年09月24日-28日（24日全天报到）  武汉市</w:t>
      </w:r>
    </w:p>
    <w:p w14:paraId="28076647">
      <w:pPr>
        <w:spacing w:line="500" w:lineRule="exact"/>
        <w:ind w:right="119" w:firstLine="560" w:firstLineChars="200"/>
        <w:rPr>
          <w:rFonts w:ascii="仿宋" w:hAnsi="仿宋" w:eastAsia="仿宋" w:cs="Times New Roman"/>
          <w:sz w:val="28"/>
          <w:szCs w:val="28"/>
        </w:rPr>
      </w:pPr>
      <w:r>
        <w:rPr>
          <w:rFonts w:hint="eastAsia" w:ascii="仿宋" w:hAnsi="仿宋" w:eastAsia="仿宋" w:cs="Times New Roman"/>
          <w:sz w:val="28"/>
          <w:szCs w:val="28"/>
        </w:rPr>
        <w:t>2025年10月22日-26日（22日全天报到）  西安市</w:t>
      </w:r>
    </w:p>
    <w:p w14:paraId="513AABBB">
      <w:pPr>
        <w:spacing w:line="500" w:lineRule="exact"/>
        <w:ind w:right="122"/>
        <w:rPr>
          <w:rFonts w:ascii="仿宋" w:hAnsi="仿宋" w:eastAsia="仿宋" w:cs="仿宋"/>
          <w:b/>
          <w:bCs/>
          <w:kern w:val="0"/>
          <w:sz w:val="28"/>
          <w:szCs w:val="28"/>
        </w:rPr>
      </w:pPr>
      <w:r>
        <w:rPr>
          <w:rFonts w:hint="eastAsia" w:ascii="仿宋" w:hAnsi="仿宋" w:eastAsia="仿宋" w:cs="仿宋"/>
          <w:b/>
          <w:bCs/>
          <w:kern w:val="0"/>
          <w:sz w:val="28"/>
          <w:szCs w:val="28"/>
        </w:rPr>
        <w:t>五、相关费用</w:t>
      </w:r>
      <w:bookmarkStart w:id="0" w:name="OLE_LINK7"/>
    </w:p>
    <w:p w14:paraId="512397B6">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rPr>
        <w:t>A:3980元/人（含培训费、场地费、资料费、专家、结业证书、会议期间午餐等），住宿统一安排，费用自理。</w:t>
      </w:r>
    </w:p>
    <w:p w14:paraId="0CCCD45E">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lang w:val="en-US" w:eastAsia="zh-CN"/>
        </w:rPr>
        <w:t>B</w:t>
      </w:r>
      <w:r>
        <w:rPr>
          <w:rFonts w:hint="eastAsia" w:ascii="仿宋" w:hAnsi="仿宋" w:eastAsia="仿宋" w:cs="仿宋"/>
          <w:kern w:val="0"/>
          <w:sz w:val="28"/>
          <w:szCs w:val="28"/>
        </w:rPr>
        <w:t>:以上内容线上培训费用：28000元一个学习账号，单位投屏播放，统一观看，支持在线问答。</w:t>
      </w:r>
    </w:p>
    <w:p w14:paraId="2D22D6F8">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lang w:val="en-US" w:eastAsia="zh-CN"/>
        </w:rPr>
        <w:t>C</w:t>
      </w:r>
      <w:r>
        <w:rPr>
          <w:rFonts w:hint="eastAsia" w:ascii="仿宋" w:hAnsi="仿宋" w:eastAsia="仿宋" w:cs="仿宋"/>
          <w:kern w:val="0"/>
          <w:sz w:val="28"/>
          <w:szCs w:val="28"/>
        </w:rPr>
        <w:t>:以上内容线下参会，</w:t>
      </w:r>
      <w:r>
        <w:rPr>
          <w:rFonts w:hint="eastAsia" w:ascii="仿宋" w:hAnsi="仿宋" w:eastAsia="仿宋" w:cs="仿宋"/>
          <w:color w:val="333333"/>
          <w:sz w:val="27"/>
          <w:szCs w:val="27"/>
          <w:shd w:val="clear" w:color="auto" w:fill="FFFFFF"/>
        </w:rPr>
        <w:t>50000元/单位（不含会议期间午餐、限30人）</w:t>
      </w:r>
      <w:r>
        <w:rPr>
          <w:rFonts w:hint="eastAsia" w:ascii="仿宋" w:hAnsi="仿宋" w:eastAsia="仿宋" w:cs="仿宋"/>
          <w:kern w:val="0"/>
          <w:sz w:val="28"/>
          <w:szCs w:val="28"/>
        </w:rPr>
        <w:t>，并邀请贵单位成为我会会员单位、免首年会费。本课程也可以采取定制内容学习、请专家到政府、企业内部培训，40000元/天（含课酬、专家与助教交通费、资料费等），场地由培训单位提供。</w:t>
      </w:r>
      <w:bookmarkEnd w:id="0"/>
    </w:p>
    <w:p w14:paraId="3EE47081">
      <w:pPr>
        <w:spacing w:line="500" w:lineRule="exact"/>
        <w:ind w:right="122" w:firstLine="562" w:firstLineChars="200"/>
        <w:rPr>
          <w:rFonts w:ascii="仿宋" w:hAnsi="仿宋" w:eastAsia="仿宋" w:cs="仿宋"/>
          <w:kern w:val="0"/>
          <w:sz w:val="28"/>
          <w:szCs w:val="28"/>
        </w:rPr>
      </w:pPr>
      <w:r>
        <w:rPr>
          <w:rFonts w:hint="eastAsia" w:ascii="仿宋" w:hAnsi="仿宋" w:eastAsia="仿宋" w:cs="仿宋"/>
          <w:b/>
          <w:bCs/>
          <w:kern w:val="0"/>
          <w:sz w:val="28"/>
          <w:szCs w:val="28"/>
        </w:rPr>
        <w:t>备注：</w:t>
      </w:r>
      <w:r>
        <w:rPr>
          <w:rFonts w:hint="eastAsia" w:ascii="仿宋" w:hAnsi="仿宋" w:eastAsia="仿宋" w:cs="仿宋"/>
          <w:kern w:val="0"/>
          <w:sz w:val="28"/>
          <w:szCs w:val="28"/>
        </w:rPr>
        <w:t>参加培训，考试成绩合格颁发证书，2000元/人/项（证书由我会颁发“《商务经理》《成本经理》《造价经理》《项目经理》”。岗位能力证书申报材料：报名表、2寸照片（白底免冠彩照）、身份证正反面、学历证书，以上报名材料均需电子版。</w:t>
      </w:r>
    </w:p>
    <w:p w14:paraId="579135F6">
      <w:pPr>
        <w:spacing w:line="500" w:lineRule="exact"/>
        <w:ind w:right="122"/>
        <w:rPr>
          <w:rFonts w:ascii="仿宋" w:hAnsi="仿宋" w:eastAsia="仿宋" w:cs="仿宋"/>
          <w:b/>
          <w:bCs/>
          <w:kern w:val="0"/>
          <w:sz w:val="28"/>
          <w:szCs w:val="28"/>
        </w:rPr>
      </w:pPr>
      <w:r>
        <w:rPr>
          <w:rFonts w:hint="eastAsia" w:ascii="仿宋" w:hAnsi="仿宋" w:eastAsia="仿宋" w:cs="仿宋"/>
          <w:b/>
          <w:bCs/>
          <w:kern w:val="0"/>
          <w:sz w:val="28"/>
          <w:szCs w:val="28"/>
        </w:rPr>
        <w:t>六、报名办法</w:t>
      </w:r>
    </w:p>
    <w:p w14:paraId="24924CB5">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rPr>
        <w:t>凡参加培训班的人员，请填写报名回执表；具体培训场所、乘车路线等，于培训前7天发送全体培训人员。</w:t>
      </w:r>
    </w:p>
    <w:p w14:paraId="29925F77">
      <w:pPr>
        <w:spacing w:line="500" w:lineRule="exact"/>
        <w:ind w:right="122"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报名负责人：聂红军 主任18211071700（微信）   </w:t>
      </w:r>
    </w:p>
    <w:p w14:paraId="125B35D9">
      <w:pPr>
        <w:spacing w:line="500" w:lineRule="exact"/>
        <w:ind w:right="122"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电    话：13141289128        邮    箱：zqgphwz@126.com  </w:t>
      </w:r>
    </w:p>
    <w:p w14:paraId="53585594">
      <w:pPr>
        <w:spacing w:line="500" w:lineRule="exact"/>
        <w:ind w:right="122"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qq咨询：3177524020          网    址：http://www.zqgpchina.cn    </w:t>
      </w:r>
    </w:p>
    <w:p w14:paraId="289E043B">
      <w:pPr>
        <w:spacing w:line="500" w:lineRule="exact"/>
        <w:ind w:right="122" w:firstLine="560" w:firstLineChars="200"/>
        <w:rPr>
          <w:rFonts w:ascii="仿宋" w:hAnsi="仿宋" w:eastAsia="仿宋" w:cs="仿宋"/>
          <w:kern w:val="0"/>
          <w:sz w:val="28"/>
          <w:szCs w:val="28"/>
        </w:rPr>
      </w:pPr>
    </w:p>
    <w:p w14:paraId="317BAD24">
      <w:pPr>
        <w:spacing w:line="500" w:lineRule="exact"/>
        <w:ind w:right="122" w:firstLine="480" w:firstLineChars="200"/>
        <w:rPr>
          <w:rFonts w:ascii="仿宋" w:hAnsi="仿宋" w:eastAsia="仿宋" w:cs="仿宋"/>
          <w:kern w:val="0"/>
          <w:sz w:val="28"/>
          <w:szCs w:val="28"/>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3994785</wp:posOffset>
            </wp:positionH>
            <wp:positionV relativeFrom="paragraph">
              <wp:posOffset>2540</wp:posOffset>
            </wp:positionV>
            <wp:extent cx="1537970" cy="1529715"/>
            <wp:effectExtent l="0" t="0" r="5080" b="1333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p>
    <w:p w14:paraId="7F4FA5B1">
      <w:pPr>
        <w:spacing w:line="500" w:lineRule="exact"/>
        <w:ind w:right="122" w:firstLine="560" w:firstLineChars="200"/>
        <w:rPr>
          <w:rFonts w:ascii="仿宋" w:hAnsi="仿宋" w:eastAsia="仿宋" w:cs="仿宋"/>
          <w:kern w:val="0"/>
          <w:sz w:val="28"/>
          <w:szCs w:val="28"/>
        </w:rPr>
      </w:pPr>
    </w:p>
    <w:p w14:paraId="6A0FD896">
      <w:pPr>
        <w:spacing w:line="520" w:lineRule="exact"/>
        <w:ind w:right="122" w:firstLine="562" w:firstLineChars="200"/>
        <w:jc w:val="center"/>
        <w:rPr>
          <w:rFonts w:ascii="仿宋" w:hAnsi="仿宋" w:eastAsia="仿宋" w:cs="仿宋"/>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kern w:val="0"/>
          <w:sz w:val="28"/>
          <w:szCs w:val="28"/>
        </w:rPr>
        <w:t>中国国际工程咨询协会</w:t>
      </w:r>
    </w:p>
    <w:p w14:paraId="1184F2E2">
      <w:pPr>
        <w:spacing w:line="520" w:lineRule="exact"/>
        <w:ind w:right="122"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 xml:space="preserve">                                  二零二五年六月五日</w:t>
      </w:r>
    </w:p>
    <w:p w14:paraId="15574520">
      <w:pPr>
        <w:spacing w:line="400" w:lineRule="exact"/>
        <w:ind w:right="80" w:rightChars="38"/>
        <w:rPr>
          <w:rFonts w:ascii="黑体" w:hAnsi="黑体" w:eastAsia="黑体" w:cs="Arial"/>
          <w:color w:val="000000"/>
          <w:sz w:val="32"/>
          <w:szCs w:val="32"/>
        </w:rPr>
      </w:pPr>
    </w:p>
    <w:p w14:paraId="6ED4126B">
      <w:pPr>
        <w:spacing w:line="400" w:lineRule="exact"/>
        <w:ind w:right="80" w:rightChars="38"/>
        <w:rPr>
          <w:rFonts w:ascii="黑体" w:hAnsi="黑体" w:eastAsia="黑体" w:cs="Arial"/>
          <w:color w:val="000000"/>
          <w:sz w:val="32"/>
          <w:szCs w:val="32"/>
        </w:rPr>
      </w:pPr>
    </w:p>
    <w:p w14:paraId="5D57B9DE">
      <w:pPr>
        <w:spacing w:line="400" w:lineRule="exact"/>
        <w:ind w:right="80" w:rightChars="38"/>
        <w:rPr>
          <w:rFonts w:ascii="黑体" w:hAnsi="黑体" w:eastAsia="黑体" w:cs="Arial"/>
          <w:color w:val="000000"/>
          <w:sz w:val="32"/>
          <w:szCs w:val="32"/>
        </w:rPr>
      </w:pPr>
    </w:p>
    <w:p w14:paraId="5C79F44D">
      <w:pPr>
        <w:spacing w:line="400" w:lineRule="exact"/>
        <w:ind w:right="80" w:rightChars="38"/>
        <w:rPr>
          <w:rFonts w:ascii="黑体" w:hAnsi="黑体" w:eastAsia="黑体" w:cs="Arial"/>
          <w:color w:val="000000"/>
          <w:sz w:val="32"/>
          <w:szCs w:val="32"/>
        </w:rPr>
      </w:pPr>
    </w:p>
    <w:p w14:paraId="56EAEED0">
      <w:pPr>
        <w:spacing w:line="400" w:lineRule="exact"/>
        <w:ind w:right="80" w:rightChars="38"/>
        <w:rPr>
          <w:rFonts w:ascii="黑体" w:hAnsi="黑体" w:eastAsia="黑体" w:cs="Arial"/>
          <w:color w:val="000000"/>
          <w:sz w:val="32"/>
          <w:szCs w:val="32"/>
        </w:rPr>
      </w:pPr>
    </w:p>
    <w:p w14:paraId="54B57194">
      <w:pPr>
        <w:spacing w:line="400" w:lineRule="exact"/>
        <w:ind w:right="80" w:rightChars="38"/>
        <w:rPr>
          <w:rFonts w:ascii="黑体" w:hAnsi="黑体" w:eastAsia="黑体" w:cs="Arial"/>
          <w:color w:val="000000"/>
          <w:sz w:val="32"/>
          <w:szCs w:val="32"/>
        </w:rPr>
      </w:pPr>
    </w:p>
    <w:p w14:paraId="5E76D8DF">
      <w:pPr>
        <w:spacing w:line="400" w:lineRule="exact"/>
        <w:ind w:right="80" w:rightChars="38"/>
        <w:rPr>
          <w:rFonts w:ascii="黑体" w:hAnsi="黑体" w:eastAsia="黑体" w:cs="Arial"/>
          <w:color w:val="000000"/>
          <w:sz w:val="32"/>
          <w:szCs w:val="32"/>
        </w:rPr>
      </w:pPr>
    </w:p>
    <w:p w14:paraId="17DD76DC">
      <w:pPr>
        <w:spacing w:line="400" w:lineRule="exact"/>
        <w:ind w:right="80" w:rightChars="38"/>
        <w:rPr>
          <w:rFonts w:ascii="黑体" w:hAnsi="黑体" w:eastAsia="黑体" w:cs="Arial"/>
          <w:color w:val="000000"/>
          <w:sz w:val="32"/>
          <w:szCs w:val="32"/>
        </w:rPr>
      </w:pPr>
    </w:p>
    <w:p w14:paraId="2087B5F5">
      <w:pPr>
        <w:spacing w:line="400" w:lineRule="exact"/>
        <w:ind w:right="80" w:rightChars="38"/>
        <w:rPr>
          <w:rFonts w:ascii="黑体" w:hAnsi="黑体" w:eastAsia="黑体" w:cs="Arial"/>
          <w:color w:val="000000"/>
          <w:sz w:val="32"/>
          <w:szCs w:val="32"/>
        </w:rPr>
      </w:pPr>
    </w:p>
    <w:p w14:paraId="207988B4">
      <w:pPr>
        <w:spacing w:line="400" w:lineRule="exact"/>
        <w:ind w:right="80" w:rightChars="38"/>
        <w:rPr>
          <w:rFonts w:ascii="黑体" w:hAnsi="黑体" w:eastAsia="黑体" w:cs="Arial"/>
          <w:color w:val="000000"/>
          <w:sz w:val="32"/>
          <w:szCs w:val="32"/>
        </w:rPr>
      </w:pPr>
    </w:p>
    <w:p w14:paraId="463DD702">
      <w:pPr>
        <w:spacing w:line="400" w:lineRule="exact"/>
        <w:ind w:right="80" w:rightChars="38"/>
        <w:rPr>
          <w:rFonts w:hint="eastAsia" w:ascii="黑体" w:hAnsi="黑体" w:eastAsia="黑体" w:cs="Arial"/>
          <w:color w:val="000000"/>
          <w:sz w:val="32"/>
          <w:szCs w:val="32"/>
        </w:rPr>
      </w:pPr>
    </w:p>
    <w:p w14:paraId="334B3369">
      <w:pPr>
        <w:spacing w:line="400" w:lineRule="exact"/>
        <w:ind w:right="80" w:rightChars="38"/>
        <w:rPr>
          <w:rFonts w:ascii="黑体" w:hAnsi="黑体" w:eastAsia="黑体" w:cs="Arial"/>
          <w:color w:val="000000"/>
          <w:sz w:val="32"/>
          <w:szCs w:val="32"/>
        </w:rPr>
      </w:pPr>
      <w:r>
        <w:rPr>
          <w:rFonts w:hint="eastAsia" w:ascii="黑体" w:hAnsi="黑体" w:eastAsia="黑体" w:cs="Arial"/>
          <w:color w:val="000000"/>
          <w:sz w:val="32"/>
          <w:szCs w:val="32"/>
        </w:rPr>
        <w:t>附件：</w:t>
      </w:r>
    </w:p>
    <w:p w14:paraId="783ABA64">
      <w:pPr>
        <w:spacing w:line="520" w:lineRule="exact"/>
        <w:ind w:right="122"/>
        <w:jc w:val="center"/>
        <w:rPr>
          <w:rFonts w:ascii="仿宋" w:hAnsi="仿宋" w:eastAsia="仿宋" w:cs="仿宋"/>
          <w:b/>
          <w:bCs/>
          <w:kern w:val="0"/>
          <w:sz w:val="32"/>
          <w:szCs w:val="32"/>
        </w:rPr>
      </w:pPr>
      <w:r>
        <w:rPr>
          <w:rFonts w:hint="eastAsia" w:ascii="仿宋" w:hAnsi="仿宋" w:eastAsia="仿宋" w:cs="仿宋"/>
          <w:b/>
          <w:bCs/>
          <w:kern w:val="0"/>
          <w:sz w:val="32"/>
          <w:szCs w:val="32"/>
        </w:rPr>
        <w:t>《建设工程工程量清单计价标准》(GB/T50500-2024)应用解读、合同风险揭示与防范暨建设项目全过程造价管控与审计、财评实操</w:t>
      </w:r>
    </w:p>
    <w:p w14:paraId="10492751">
      <w:pPr>
        <w:spacing w:line="520" w:lineRule="exact"/>
        <w:ind w:right="122"/>
        <w:jc w:val="center"/>
        <w:rPr>
          <w:rFonts w:ascii="仿宋" w:hAnsi="仿宋" w:eastAsia="仿宋" w:cs="仿宋"/>
          <w:b/>
          <w:bCs/>
          <w:kern w:val="0"/>
          <w:sz w:val="32"/>
          <w:szCs w:val="32"/>
        </w:rPr>
      </w:pPr>
      <w:r>
        <w:rPr>
          <w:rFonts w:hint="eastAsia" w:ascii="仿宋" w:hAnsi="仿宋" w:eastAsia="仿宋" w:cs="仿宋"/>
          <w:b/>
          <w:bCs/>
          <w:kern w:val="0"/>
          <w:sz w:val="32"/>
          <w:szCs w:val="32"/>
        </w:rPr>
        <w:t>专题培训班报名表</w:t>
      </w:r>
    </w:p>
    <w:tbl>
      <w:tblPr>
        <w:tblStyle w:val="8"/>
        <w:tblpPr w:leftFromText="180" w:rightFromText="180" w:vertAnchor="text" w:horzAnchor="page" w:tblpXSpec="center" w:tblpY="187"/>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52"/>
        <w:gridCol w:w="1257"/>
        <w:gridCol w:w="1826"/>
        <w:gridCol w:w="17"/>
        <w:gridCol w:w="477"/>
        <w:gridCol w:w="551"/>
        <w:gridCol w:w="776"/>
        <w:gridCol w:w="2014"/>
      </w:tblGrid>
      <w:tr w14:paraId="0090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1340" w:type="dxa"/>
            <w:noWrap/>
            <w:vAlign w:val="center"/>
          </w:tcPr>
          <w:p w14:paraId="05818A90">
            <w:pPr>
              <w:spacing w:line="360" w:lineRule="exact"/>
              <w:ind w:right="80" w:rightChars="38"/>
              <w:rPr>
                <w:rFonts w:ascii="仿宋" w:hAnsi="仿宋" w:eastAsia="仿宋" w:cs="仿宋"/>
                <w:b/>
                <w:sz w:val="24"/>
              </w:rPr>
            </w:pPr>
            <w:r>
              <w:rPr>
                <w:rFonts w:hint="eastAsia" w:ascii="仿宋" w:hAnsi="仿宋" w:eastAsia="仿宋" w:cs="仿宋"/>
                <w:b/>
                <w:sz w:val="24"/>
              </w:rPr>
              <w:t>单位名称</w:t>
            </w:r>
          </w:p>
        </w:tc>
        <w:tc>
          <w:tcPr>
            <w:tcW w:w="4629" w:type="dxa"/>
            <w:gridSpan w:val="5"/>
            <w:noWrap/>
            <w:vAlign w:val="center"/>
          </w:tcPr>
          <w:p w14:paraId="79BFF5E1">
            <w:pPr>
              <w:spacing w:line="360" w:lineRule="exact"/>
              <w:ind w:right="80" w:rightChars="38"/>
              <w:rPr>
                <w:rFonts w:ascii="仿宋" w:hAnsi="仿宋" w:eastAsia="仿宋" w:cs="仿宋"/>
                <w:bCs/>
                <w:sz w:val="24"/>
              </w:rPr>
            </w:pPr>
          </w:p>
        </w:tc>
        <w:tc>
          <w:tcPr>
            <w:tcW w:w="1327" w:type="dxa"/>
            <w:gridSpan w:val="2"/>
            <w:noWrap/>
            <w:vAlign w:val="center"/>
          </w:tcPr>
          <w:p w14:paraId="1D2DAFE4">
            <w:pPr>
              <w:spacing w:line="360" w:lineRule="exact"/>
              <w:ind w:right="80" w:rightChars="38"/>
              <w:rPr>
                <w:rFonts w:ascii="仿宋" w:hAnsi="仿宋" w:eastAsia="仿宋" w:cs="仿宋"/>
                <w:bCs/>
                <w:sz w:val="24"/>
              </w:rPr>
            </w:pPr>
            <w:r>
              <w:rPr>
                <w:rFonts w:hint="eastAsia" w:ascii="仿宋" w:hAnsi="仿宋" w:eastAsia="仿宋" w:cs="仿宋"/>
                <w:b/>
                <w:sz w:val="24"/>
              </w:rPr>
              <w:t>邮    编</w:t>
            </w:r>
          </w:p>
        </w:tc>
        <w:tc>
          <w:tcPr>
            <w:tcW w:w="2014" w:type="dxa"/>
            <w:noWrap/>
            <w:vAlign w:val="center"/>
          </w:tcPr>
          <w:p w14:paraId="6308E5C9">
            <w:pPr>
              <w:spacing w:line="360" w:lineRule="exact"/>
              <w:ind w:left="149" w:right="80" w:rightChars="38" w:hanging="148" w:hangingChars="62"/>
              <w:rPr>
                <w:rFonts w:ascii="仿宋" w:hAnsi="仿宋" w:eastAsia="仿宋" w:cs="仿宋"/>
                <w:bCs/>
                <w:sz w:val="24"/>
              </w:rPr>
            </w:pPr>
          </w:p>
        </w:tc>
      </w:tr>
      <w:tr w14:paraId="7FE6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340" w:type="dxa"/>
            <w:noWrap/>
            <w:vAlign w:val="center"/>
          </w:tcPr>
          <w:p w14:paraId="28F0FCEE">
            <w:pPr>
              <w:spacing w:line="360" w:lineRule="exact"/>
              <w:ind w:right="80" w:rightChars="38"/>
              <w:rPr>
                <w:rFonts w:ascii="仿宋" w:hAnsi="仿宋" w:eastAsia="仿宋" w:cs="仿宋"/>
                <w:b/>
                <w:sz w:val="24"/>
              </w:rPr>
            </w:pPr>
            <w:r>
              <w:rPr>
                <w:rFonts w:hint="eastAsia" w:ascii="仿宋" w:hAnsi="仿宋" w:eastAsia="仿宋" w:cs="仿宋"/>
                <w:b/>
                <w:sz w:val="24"/>
              </w:rPr>
              <w:t>详细地址</w:t>
            </w:r>
          </w:p>
        </w:tc>
        <w:tc>
          <w:tcPr>
            <w:tcW w:w="7970" w:type="dxa"/>
            <w:gridSpan w:val="8"/>
            <w:noWrap/>
            <w:vAlign w:val="center"/>
          </w:tcPr>
          <w:p w14:paraId="5E4EA3CE">
            <w:pPr>
              <w:spacing w:line="360" w:lineRule="exact"/>
              <w:ind w:right="80" w:rightChars="38"/>
              <w:rPr>
                <w:rFonts w:ascii="仿宋" w:hAnsi="仿宋" w:eastAsia="仿宋" w:cs="仿宋"/>
                <w:bCs/>
                <w:sz w:val="24"/>
              </w:rPr>
            </w:pPr>
          </w:p>
        </w:tc>
      </w:tr>
      <w:tr w14:paraId="4D23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40" w:type="dxa"/>
            <w:noWrap/>
            <w:vAlign w:val="center"/>
          </w:tcPr>
          <w:p w14:paraId="60E21D6A">
            <w:pPr>
              <w:spacing w:line="360" w:lineRule="exact"/>
              <w:ind w:right="80" w:rightChars="38"/>
              <w:rPr>
                <w:rFonts w:ascii="仿宋" w:hAnsi="仿宋" w:eastAsia="仿宋" w:cs="仿宋"/>
                <w:b/>
                <w:sz w:val="24"/>
              </w:rPr>
            </w:pPr>
            <w:r>
              <w:rPr>
                <w:rFonts w:hint="eastAsia" w:ascii="仿宋" w:hAnsi="仿宋" w:eastAsia="仿宋" w:cs="仿宋"/>
                <w:b/>
                <w:sz w:val="24"/>
              </w:rPr>
              <w:t>联系人</w:t>
            </w:r>
          </w:p>
        </w:tc>
        <w:tc>
          <w:tcPr>
            <w:tcW w:w="4152" w:type="dxa"/>
            <w:gridSpan w:val="4"/>
            <w:noWrap/>
            <w:vAlign w:val="center"/>
          </w:tcPr>
          <w:p w14:paraId="5A9EBB9B">
            <w:pPr>
              <w:spacing w:line="360" w:lineRule="exact"/>
              <w:ind w:right="80" w:rightChars="38"/>
              <w:rPr>
                <w:rFonts w:ascii="仿宋" w:hAnsi="仿宋" w:eastAsia="仿宋" w:cs="仿宋"/>
                <w:bCs/>
                <w:sz w:val="24"/>
              </w:rPr>
            </w:pPr>
          </w:p>
        </w:tc>
        <w:tc>
          <w:tcPr>
            <w:tcW w:w="1804" w:type="dxa"/>
            <w:gridSpan w:val="3"/>
            <w:noWrap/>
            <w:vAlign w:val="center"/>
          </w:tcPr>
          <w:p w14:paraId="2B15AC1C">
            <w:pPr>
              <w:keepNext/>
              <w:spacing w:line="360" w:lineRule="exact"/>
              <w:ind w:right="80" w:rightChars="38"/>
              <w:jc w:val="center"/>
              <w:outlineLvl w:val="0"/>
              <w:rPr>
                <w:rFonts w:ascii="仿宋" w:hAnsi="仿宋" w:eastAsia="仿宋" w:cs="仿宋"/>
                <w:b/>
                <w:sz w:val="24"/>
              </w:rPr>
            </w:pPr>
            <w:r>
              <w:rPr>
                <w:rFonts w:hint="eastAsia" w:ascii="仿宋" w:hAnsi="仿宋" w:eastAsia="仿宋" w:cs="仿宋"/>
                <w:b/>
                <w:sz w:val="24"/>
              </w:rPr>
              <w:t>E-mail</w:t>
            </w:r>
          </w:p>
        </w:tc>
        <w:tc>
          <w:tcPr>
            <w:tcW w:w="2014" w:type="dxa"/>
            <w:noWrap/>
            <w:vAlign w:val="center"/>
          </w:tcPr>
          <w:p w14:paraId="62C51646">
            <w:pPr>
              <w:spacing w:line="360" w:lineRule="exact"/>
              <w:ind w:right="80" w:rightChars="38"/>
              <w:rPr>
                <w:rFonts w:ascii="仿宋" w:hAnsi="仿宋" w:eastAsia="仿宋" w:cs="仿宋"/>
                <w:bCs/>
                <w:sz w:val="24"/>
              </w:rPr>
            </w:pPr>
          </w:p>
        </w:tc>
      </w:tr>
      <w:tr w14:paraId="55C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40" w:type="dxa"/>
            <w:noWrap/>
            <w:vAlign w:val="center"/>
          </w:tcPr>
          <w:p w14:paraId="0E1BE0B0">
            <w:pPr>
              <w:spacing w:line="360" w:lineRule="exact"/>
              <w:ind w:right="80" w:rightChars="38"/>
              <w:rPr>
                <w:rFonts w:ascii="仿宋" w:hAnsi="仿宋" w:eastAsia="仿宋" w:cs="仿宋"/>
                <w:b/>
                <w:sz w:val="24"/>
              </w:rPr>
            </w:pPr>
            <w:r>
              <w:rPr>
                <w:rFonts w:hint="eastAsia" w:ascii="仿宋" w:hAnsi="仿宋" w:eastAsia="仿宋" w:cs="仿宋"/>
                <w:b/>
                <w:sz w:val="24"/>
              </w:rPr>
              <w:t>电    话</w:t>
            </w:r>
          </w:p>
        </w:tc>
        <w:tc>
          <w:tcPr>
            <w:tcW w:w="4152" w:type="dxa"/>
            <w:gridSpan w:val="4"/>
            <w:noWrap/>
            <w:vAlign w:val="center"/>
          </w:tcPr>
          <w:p w14:paraId="62EAD12E">
            <w:pPr>
              <w:spacing w:line="360" w:lineRule="exact"/>
              <w:ind w:right="80" w:rightChars="38"/>
              <w:rPr>
                <w:rFonts w:ascii="仿宋" w:hAnsi="仿宋" w:eastAsia="仿宋" w:cs="仿宋"/>
                <w:bCs/>
                <w:sz w:val="24"/>
              </w:rPr>
            </w:pPr>
          </w:p>
        </w:tc>
        <w:tc>
          <w:tcPr>
            <w:tcW w:w="1804" w:type="dxa"/>
            <w:gridSpan w:val="3"/>
            <w:noWrap/>
            <w:vAlign w:val="center"/>
          </w:tcPr>
          <w:p w14:paraId="0FE8204F">
            <w:pPr>
              <w:spacing w:line="360" w:lineRule="exact"/>
              <w:ind w:right="80" w:rightChars="38"/>
              <w:jc w:val="center"/>
              <w:rPr>
                <w:rFonts w:ascii="仿宋" w:hAnsi="仿宋" w:eastAsia="仿宋" w:cs="仿宋"/>
                <w:b/>
                <w:sz w:val="24"/>
              </w:rPr>
            </w:pPr>
            <w:r>
              <w:rPr>
                <w:rFonts w:hint="eastAsia" w:ascii="仿宋" w:hAnsi="仿宋" w:eastAsia="仿宋" w:cs="仿宋"/>
                <w:b/>
                <w:sz w:val="24"/>
              </w:rPr>
              <w:t>传  真</w:t>
            </w:r>
          </w:p>
        </w:tc>
        <w:tc>
          <w:tcPr>
            <w:tcW w:w="2014" w:type="dxa"/>
            <w:noWrap/>
            <w:vAlign w:val="center"/>
          </w:tcPr>
          <w:p w14:paraId="2180CA78">
            <w:pPr>
              <w:spacing w:line="360" w:lineRule="exact"/>
              <w:ind w:right="80" w:rightChars="38"/>
              <w:rPr>
                <w:rFonts w:ascii="仿宋" w:hAnsi="仿宋" w:eastAsia="仿宋" w:cs="仿宋"/>
                <w:bCs/>
                <w:sz w:val="24"/>
              </w:rPr>
            </w:pPr>
          </w:p>
        </w:tc>
      </w:tr>
      <w:tr w14:paraId="1864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40" w:type="dxa"/>
            <w:noWrap/>
            <w:vAlign w:val="center"/>
          </w:tcPr>
          <w:p w14:paraId="5419F21A">
            <w:pPr>
              <w:spacing w:line="360" w:lineRule="exact"/>
              <w:ind w:right="80" w:rightChars="38"/>
              <w:jc w:val="center"/>
              <w:rPr>
                <w:rFonts w:ascii="仿宋" w:hAnsi="仿宋" w:eastAsia="仿宋" w:cs="仿宋"/>
                <w:b/>
                <w:sz w:val="24"/>
              </w:rPr>
            </w:pPr>
            <w:r>
              <w:rPr>
                <w:rFonts w:hint="eastAsia" w:ascii="仿宋" w:hAnsi="仿宋" w:eastAsia="仿宋" w:cs="仿宋"/>
                <w:b/>
                <w:sz w:val="24"/>
              </w:rPr>
              <w:t>姓    名</w:t>
            </w:r>
          </w:p>
        </w:tc>
        <w:tc>
          <w:tcPr>
            <w:tcW w:w="1052" w:type="dxa"/>
            <w:noWrap/>
            <w:vAlign w:val="center"/>
          </w:tcPr>
          <w:p w14:paraId="0DA8F7AA">
            <w:pPr>
              <w:spacing w:line="360" w:lineRule="exact"/>
              <w:ind w:right="80" w:rightChars="38"/>
              <w:jc w:val="center"/>
              <w:rPr>
                <w:rFonts w:ascii="仿宋" w:hAnsi="仿宋" w:eastAsia="仿宋" w:cs="仿宋"/>
                <w:b/>
                <w:sz w:val="24"/>
              </w:rPr>
            </w:pPr>
            <w:r>
              <w:rPr>
                <w:rFonts w:hint="eastAsia" w:ascii="仿宋" w:hAnsi="仿宋" w:eastAsia="仿宋" w:cs="仿宋"/>
                <w:b/>
                <w:sz w:val="24"/>
              </w:rPr>
              <w:t>性别</w:t>
            </w:r>
          </w:p>
        </w:tc>
        <w:tc>
          <w:tcPr>
            <w:tcW w:w="1257" w:type="dxa"/>
            <w:noWrap/>
            <w:vAlign w:val="center"/>
          </w:tcPr>
          <w:p w14:paraId="1CB6D664">
            <w:pPr>
              <w:spacing w:line="360" w:lineRule="exact"/>
              <w:ind w:right="80" w:rightChars="38"/>
              <w:jc w:val="center"/>
              <w:rPr>
                <w:rFonts w:ascii="仿宋" w:hAnsi="仿宋" w:eastAsia="仿宋" w:cs="仿宋"/>
                <w:b/>
                <w:sz w:val="24"/>
              </w:rPr>
            </w:pPr>
            <w:r>
              <w:rPr>
                <w:rFonts w:hint="eastAsia" w:ascii="仿宋" w:hAnsi="仿宋" w:eastAsia="仿宋" w:cs="仿宋"/>
                <w:b/>
                <w:sz w:val="24"/>
              </w:rPr>
              <w:t>部门</w:t>
            </w:r>
          </w:p>
        </w:tc>
        <w:tc>
          <w:tcPr>
            <w:tcW w:w="1843" w:type="dxa"/>
            <w:gridSpan w:val="2"/>
            <w:noWrap/>
            <w:vAlign w:val="center"/>
          </w:tcPr>
          <w:p w14:paraId="55E5443D">
            <w:pPr>
              <w:spacing w:line="360" w:lineRule="exact"/>
              <w:ind w:right="80" w:rightChars="38"/>
              <w:jc w:val="center"/>
              <w:rPr>
                <w:rFonts w:ascii="仿宋" w:hAnsi="仿宋" w:eastAsia="仿宋" w:cs="仿宋"/>
                <w:b/>
                <w:sz w:val="24"/>
              </w:rPr>
            </w:pPr>
            <w:r>
              <w:rPr>
                <w:rFonts w:hint="eastAsia" w:ascii="仿宋" w:hAnsi="仿宋" w:eastAsia="仿宋" w:cs="仿宋"/>
                <w:b/>
                <w:sz w:val="24"/>
              </w:rPr>
              <w:t>职务</w:t>
            </w:r>
          </w:p>
        </w:tc>
        <w:tc>
          <w:tcPr>
            <w:tcW w:w="1804" w:type="dxa"/>
            <w:gridSpan w:val="3"/>
            <w:noWrap/>
            <w:vAlign w:val="center"/>
          </w:tcPr>
          <w:p w14:paraId="3CD1DAA4">
            <w:pPr>
              <w:spacing w:line="360" w:lineRule="exact"/>
              <w:ind w:right="80" w:rightChars="38"/>
              <w:jc w:val="center"/>
              <w:rPr>
                <w:rFonts w:ascii="仿宋" w:hAnsi="仿宋" w:eastAsia="仿宋" w:cs="仿宋"/>
                <w:b/>
                <w:sz w:val="24"/>
              </w:rPr>
            </w:pPr>
            <w:r>
              <w:rPr>
                <w:rFonts w:hint="eastAsia" w:ascii="仿宋" w:hAnsi="仿宋" w:eastAsia="仿宋" w:cs="仿宋"/>
                <w:b/>
                <w:sz w:val="24"/>
              </w:rPr>
              <w:t>手机</w:t>
            </w:r>
          </w:p>
        </w:tc>
        <w:tc>
          <w:tcPr>
            <w:tcW w:w="2014" w:type="dxa"/>
            <w:noWrap/>
            <w:vAlign w:val="center"/>
          </w:tcPr>
          <w:p w14:paraId="28F0A238">
            <w:pPr>
              <w:spacing w:line="360" w:lineRule="exact"/>
              <w:ind w:right="80" w:rightChars="38"/>
              <w:jc w:val="center"/>
              <w:rPr>
                <w:rFonts w:ascii="仿宋" w:hAnsi="仿宋" w:eastAsia="仿宋" w:cs="仿宋"/>
                <w:b/>
                <w:sz w:val="24"/>
              </w:rPr>
            </w:pPr>
            <w:r>
              <w:rPr>
                <w:rFonts w:hint="eastAsia" w:ascii="仿宋" w:hAnsi="仿宋" w:eastAsia="仿宋" w:cs="仿宋"/>
                <w:b/>
                <w:sz w:val="24"/>
              </w:rPr>
              <w:t>E-mail</w:t>
            </w:r>
          </w:p>
        </w:tc>
      </w:tr>
      <w:tr w14:paraId="3D72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40" w:type="dxa"/>
            <w:noWrap/>
            <w:vAlign w:val="center"/>
          </w:tcPr>
          <w:p w14:paraId="42D1990A">
            <w:pPr>
              <w:spacing w:line="360" w:lineRule="exact"/>
              <w:ind w:right="80" w:rightChars="38"/>
              <w:rPr>
                <w:rFonts w:ascii="仿宋" w:hAnsi="仿宋" w:eastAsia="仿宋" w:cs="仿宋"/>
                <w:bCs/>
                <w:sz w:val="24"/>
              </w:rPr>
            </w:pPr>
          </w:p>
        </w:tc>
        <w:tc>
          <w:tcPr>
            <w:tcW w:w="1052" w:type="dxa"/>
            <w:noWrap/>
            <w:vAlign w:val="center"/>
          </w:tcPr>
          <w:p w14:paraId="1F925906">
            <w:pPr>
              <w:spacing w:line="360" w:lineRule="exact"/>
              <w:ind w:right="80" w:rightChars="38"/>
              <w:rPr>
                <w:rFonts w:ascii="仿宋" w:hAnsi="仿宋" w:eastAsia="仿宋" w:cs="仿宋"/>
                <w:bCs/>
                <w:sz w:val="24"/>
              </w:rPr>
            </w:pPr>
          </w:p>
        </w:tc>
        <w:tc>
          <w:tcPr>
            <w:tcW w:w="1257" w:type="dxa"/>
            <w:noWrap/>
            <w:vAlign w:val="center"/>
          </w:tcPr>
          <w:p w14:paraId="45D00349">
            <w:pPr>
              <w:spacing w:line="360" w:lineRule="exact"/>
              <w:ind w:right="80" w:rightChars="38"/>
              <w:rPr>
                <w:rFonts w:ascii="仿宋" w:hAnsi="仿宋" w:eastAsia="仿宋" w:cs="仿宋"/>
                <w:bCs/>
                <w:sz w:val="24"/>
              </w:rPr>
            </w:pPr>
          </w:p>
        </w:tc>
        <w:tc>
          <w:tcPr>
            <w:tcW w:w="1843" w:type="dxa"/>
            <w:gridSpan w:val="2"/>
            <w:noWrap/>
            <w:vAlign w:val="center"/>
          </w:tcPr>
          <w:p w14:paraId="17EA6E47">
            <w:pPr>
              <w:spacing w:line="360" w:lineRule="exact"/>
              <w:ind w:right="80" w:rightChars="38"/>
              <w:rPr>
                <w:rFonts w:ascii="仿宋" w:hAnsi="仿宋" w:eastAsia="仿宋" w:cs="仿宋"/>
                <w:bCs/>
                <w:sz w:val="24"/>
              </w:rPr>
            </w:pPr>
          </w:p>
        </w:tc>
        <w:tc>
          <w:tcPr>
            <w:tcW w:w="1804" w:type="dxa"/>
            <w:gridSpan w:val="3"/>
            <w:noWrap/>
            <w:vAlign w:val="center"/>
          </w:tcPr>
          <w:p w14:paraId="4398A787">
            <w:pPr>
              <w:spacing w:line="360" w:lineRule="exact"/>
              <w:ind w:right="80" w:rightChars="38"/>
              <w:rPr>
                <w:rFonts w:ascii="仿宋" w:hAnsi="仿宋" w:eastAsia="仿宋" w:cs="仿宋"/>
                <w:bCs/>
                <w:sz w:val="24"/>
              </w:rPr>
            </w:pPr>
          </w:p>
        </w:tc>
        <w:tc>
          <w:tcPr>
            <w:tcW w:w="2014" w:type="dxa"/>
            <w:noWrap/>
            <w:vAlign w:val="center"/>
          </w:tcPr>
          <w:p w14:paraId="20A06193">
            <w:pPr>
              <w:spacing w:line="360" w:lineRule="exact"/>
              <w:ind w:right="80" w:rightChars="38"/>
              <w:rPr>
                <w:rFonts w:ascii="仿宋" w:hAnsi="仿宋" w:eastAsia="仿宋" w:cs="仿宋"/>
                <w:bCs/>
                <w:sz w:val="24"/>
              </w:rPr>
            </w:pPr>
          </w:p>
        </w:tc>
      </w:tr>
      <w:tr w14:paraId="76DA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40" w:type="dxa"/>
            <w:noWrap/>
            <w:vAlign w:val="center"/>
          </w:tcPr>
          <w:p w14:paraId="1FDBAE4C">
            <w:pPr>
              <w:spacing w:line="360" w:lineRule="exact"/>
              <w:ind w:right="80" w:rightChars="38"/>
              <w:rPr>
                <w:rFonts w:ascii="仿宋" w:hAnsi="仿宋" w:eastAsia="仿宋" w:cs="仿宋"/>
                <w:bCs/>
                <w:sz w:val="24"/>
              </w:rPr>
            </w:pPr>
          </w:p>
        </w:tc>
        <w:tc>
          <w:tcPr>
            <w:tcW w:w="1052" w:type="dxa"/>
            <w:noWrap/>
            <w:vAlign w:val="center"/>
          </w:tcPr>
          <w:p w14:paraId="73F2D1A8">
            <w:pPr>
              <w:spacing w:line="360" w:lineRule="exact"/>
              <w:ind w:right="80" w:rightChars="38"/>
              <w:rPr>
                <w:rFonts w:ascii="仿宋" w:hAnsi="仿宋" w:eastAsia="仿宋" w:cs="仿宋"/>
                <w:bCs/>
                <w:sz w:val="24"/>
              </w:rPr>
            </w:pPr>
          </w:p>
        </w:tc>
        <w:tc>
          <w:tcPr>
            <w:tcW w:w="1257" w:type="dxa"/>
            <w:noWrap/>
            <w:vAlign w:val="center"/>
          </w:tcPr>
          <w:p w14:paraId="19B4F85B">
            <w:pPr>
              <w:spacing w:line="360" w:lineRule="exact"/>
              <w:ind w:right="80" w:rightChars="38"/>
              <w:rPr>
                <w:rFonts w:ascii="仿宋" w:hAnsi="仿宋" w:eastAsia="仿宋" w:cs="仿宋"/>
                <w:bCs/>
                <w:sz w:val="24"/>
              </w:rPr>
            </w:pPr>
          </w:p>
        </w:tc>
        <w:tc>
          <w:tcPr>
            <w:tcW w:w="1843" w:type="dxa"/>
            <w:gridSpan w:val="2"/>
            <w:noWrap/>
            <w:vAlign w:val="center"/>
          </w:tcPr>
          <w:p w14:paraId="03B3FF4E">
            <w:pPr>
              <w:spacing w:line="360" w:lineRule="exact"/>
              <w:ind w:right="80" w:rightChars="38"/>
              <w:rPr>
                <w:rFonts w:ascii="仿宋" w:hAnsi="仿宋" w:eastAsia="仿宋" w:cs="仿宋"/>
                <w:bCs/>
                <w:sz w:val="24"/>
              </w:rPr>
            </w:pPr>
          </w:p>
        </w:tc>
        <w:tc>
          <w:tcPr>
            <w:tcW w:w="1804" w:type="dxa"/>
            <w:gridSpan w:val="3"/>
            <w:noWrap/>
            <w:vAlign w:val="center"/>
          </w:tcPr>
          <w:p w14:paraId="0D076468">
            <w:pPr>
              <w:spacing w:line="360" w:lineRule="exact"/>
              <w:ind w:right="80" w:rightChars="38"/>
              <w:rPr>
                <w:rFonts w:ascii="仿宋" w:hAnsi="仿宋" w:eastAsia="仿宋" w:cs="仿宋"/>
                <w:bCs/>
                <w:sz w:val="24"/>
              </w:rPr>
            </w:pPr>
          </w:p>
        </w:tc>
        <w:tc>
          <w:tcPr>
            <w:tcW w:w="2014" w:type="dxa"/>
            <w:noWrap/>
            <w:vAlign w:val="center"/>
          </w:tcPr>
          <w:p w14:paraId="29DE7CDC">
            <w:pPr>
              <w:spacing w:line="360" w:lineRule="exact"/>
              <w:ind w:right="80" w:rightChars="38"/>
              <w:rPr>
                <w:rFonts w:ascii="仿宋" w:hAnsi="仿宋" w:eastAsia="仿宋" w:cs="仿宋"/>
                <w:bCs/>
                <w:sz w:val="24"/>
              </w:rPr>
            </w:pPr>
          </w:p>
        </w:tc>
      </w:tr>
      <w:tr w14:paraId="5AF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40" w:type="dxa"/>
            <w:noWrap/>
            <w:vAlign w:val="center"/>
          </w:tcPr>
          <w:p w14:paraId="2C9BC9F6">
            <w:pPr>
              <w:spacing w:line="360" w:lineRule="exact"/>
              <w:ind w:right="80" w:rightChars="38"/>
              <w:rPr>
                <w:rFonts w:ascii="仿宋" w:hAnsi="仿宋" w:eastAsia="仿宋" w:cs="仿宋"/>
                <w:bCs/>
                <w:sz w:val="24"/>
              </w:rPr>
            </w:pPr>
          </w:p>
        </w:tc>
        <w:tc>
          <w:tcPr>
            <w:tcW w:w="1052" w:type="dxa"/>
            <w:noWrap/>
            <w:vAlign w:val="center"/>
          </w:tcPr>
          <w:p w14:paraId="73F1D2CF">
            <w:pPr>
              <w:spacing w:line="360" w:lineRule="exact"/>
              <w:ind w:right="80" w:rightChars="38"/>
              <w:rPr>
                <w:rFonts w:ascii="仿宋" w:hAnsi="仿宋" w:eastAsia="仿宋" w:cs="仿宋"/>
                <w:bCs/>
                <w:sz w:val="24"/>
              </w:rPr>
            </w:pPr>
          </w:p>
        </w:tc>
        <w:tc>
          <w:tcPr>
            <w:tcW w:w="1257" w:type="dxa"/>
            <w:noWrap/>
            <w:vAlign w:val="center"/>
          </w:tcPr>
          <w:p w14:paraId="56F7EB5A">
            <w:pPr>
              <w:spacing w:line="360" w:lineRule="exact"/>
              <w:ind w:right="80" w:rightChars="38"/>
              <w:rPr>
                <w:rFonts w:ascii="仿宋" w:hAnsi="仿宋" w:eastAsia="仿宋" w:cs="仿宋"/>
                <w:bCs/>
                <w:sz w:val="24"/>
              </w:rPr>
            </w:pPr>
          </w:p>
        </w:tc>
        <w:tc>
          <w:tcPr>
            <w:tcW w:w="1843" w:type="dxa"/>
            <w:gridSpan w:val="2"/>
            <w:noWrap/>
            <w:vAlign w:val="center"/>
          </w:tcPr>
          <w:p w14:paraId="0BA2D0B9">
            <w:pPr>
              <w:spacing w:line="360" w:lineRule="exact"/>
              <w:ind w:right="80" w:rightChars="38"/>
              <w:rPr>
                <w:rFonts w:ascii="仿宋" w:hAnsi="仿宋" w:eastAsia="仿宋" w:cs="仿宋"/>
                <w:bCs/>
                <w:sz w:val="24"/>
              </w:rPr>
            </w:pPr>
          </w:p>
        </w:tc>
        <w:tc>
          <w:tcPr>
            <w:tcW w:w="1804" w:type="dxa"/>
            <w:gridSpan w:val="3"/>
            <w:noWrap/>
            <w:vAlign w:val="center"/>
          </w:tcPr>
          <w:p w14:paraId="0057BECC">
            <w:pPr>
              <w:spacing w:line="360" w:lineRule="exact"/>
              <w:ind w:right="80" w:rightChars="38"/>
              <w:rPr>
                <w:rFonts w:ascii="仿宋" w:hAnsi="仿宋" w:eastAsia="仿宋" w:cs="仿宋"/>
                <w:bCs/>
                <w:sz w:val="24"/>
              </w:rPr>
            </w:pPr>
          </w:p>
        </w:tc>
        <w:tc>
          <w:tcPr>
            <w:tcW w:w="2014" w:type="dxa"/>
            <w:noWrap/>
            <w:vAlign w:val="center"/>
          </w:tcPr>
          <w:p w14:paraId="085B3419">
            <w:pPr>
              <w:spacing w:line="360" w:lineRule="exact"/>
              <w:ind w:right="80" w:rightChars="38"/>
              <w:rPr>
                <w:rFonts w:ascii="仿宋" w:hAnsi="仿宋" w:eastAsia="仿宋" w:cs="仿宋"/>
                <w:bCs/>
                <w:sz w:val="24"/>
              </w:rPr>
            </w:pPr>
          </w:p>
        </w:tc>
      </w:tr>
      <w:tr w14:paraId="3C8F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40" w:type="dxa"/>
            <w:noWrap/>
            <w:vAlign w:val="center"/>
          </w:tcPr>
          <w:p w14:paraId="1EF2E6DF">
            <w:pPr>
              <w:spacing w:line="360" w:lineRule="exact"/>
              <w:ind w:right="80" w:rightChars="38"/>
              <w:rPr>
                <w:rFonts w:ascii="仿宋" w:hAnsi="仿宋" w:eastAsia="仿宋" w:cs="仿宋"/>
                <w:bCs/>
                <w:sz w:val="24"/>
              </w:rPr>
            </w:pPr>
          </w:p>
        </w:tc>
        <w:tc>
          <w:tcPr>
            <w:tcW w:w="1052" w:type="dxa"/>
            <w:noWrap/>
            <w:vAlign w:val="center"/>
          </w:tcPr>
          <w:p w14:paraId="3AC3648C">
            <w:pPr>
              <w:spacing w:line="360" w:lineRule="exact"/>
              <w:ind w:right="80" w:rightChars="38"/>
              <w:rPr>
                <w:rFonts w:ascii="仿宋" w:hAnsi="仿宋" w:eastAsia="仿宋" w:cs="仿宋"/>
                <w:bCs/>
                <w:sz w:val="24"/>
              </w:rPr>
            </w:pPr>
          </w:p>
        </w:tc>
        <w:tc>
          <w:tcPr>
            <w:tcW w:w="1257" w:type="dxa"/>
            <w:noWrap/>
            <w:vAlign w:val="center"/>
          </w:tcPr>
          <w:p w14:paraId="42888E10">
            <w:pPr>
              <w:spacing w:line="360" w:lineRule="exact"/>
              <w:ind w:right="80" w:rightChars="38"/>
              <w:rPr>
                <w:rFonts w:ascii="仿宋" w:hAnsi="仿宋" w:eastAsia="仿宋" w:cs="仿宋"/>
                <w:bCs/>
                <w:sz w:val="24"/>
              </w:rPr>
            </w:pPr>
          </w:p>
        </w:tc>
        <w:tc>
          <w:tcPr>
            <w:tcW w:w="1843" w:type="dxa"/>
            <w:gridSpan w:val="2"/>
            <w:noWrap/>
            <w:vAlign w:val="center"/>
          </w:tcPr>
          <w:p w14:paraId="2E6FD636">
            <w:pPr>
              <w:spacing w:line="360" w:lineRule="exact"/>
              <w:ind w:right="80" w:rightChars="38"/>
              <w:rPr>
                <w:rFonts w:ascii="仿宋" w:hAnsi="仿宋" w:eastAsia="仿宋" w:cs="仿宋"/>
                <w:bCs/>
                <w:sz w:val="24"/>
              </w:rPr>
            </w:pPr>
          </w:p>
        </w:tc>
        <w:tc>
          <w:tcPr>
            <w:tcW w:w="1804" w:type="dxa"/>
            <w:gridSpan w:val="3"/>
            <w:noWrap/>
            <w:vAlign w:val="center"/>
          </w:tcPr>
          <w:p w14:paraId="0B8A02AD">
            <w:pPr>
              <w:spacing w:line="360" w:lineRule="exact"/>
              <w:ind w:right="80" w:rightChars="38"/>
              <w:rPr>
                <w:rFonts w:ascii="仿宋" w:hAnsi="仿宋" w:eastAsia="仿宋" w:cs="仿宋"/>
                <w:bCs/>
                <w:sz w:val="24"/>
              </w:rPr>
            </w:pPr>
          </w:p>
        </w:tc>
        <w:tc>
          <w:tcPr>
            <w:tcW w:w="2014" w:type="dxa"/>
            <w:noWrap/>
            <w:vAlign w:val="center"/>
          </w:tcPr>
          <w:p w14:paraId="0FC50EE1">
            <w:pPr>
              <w:spacing w:line="360" w:lineRule="exact"/>
              <w:ind w:right="80" w:rightChars="38"/>
              <w:rPr>
                <w:rFonts w:ascii="仿宋" w:hAnsi="仿宋" w:eastAsia="仿宋" w:cs="仿宋"/>
                <w:bCs/>
                <w:sz w:val="24"/>
              </w:rPr>
            </w:pPr>
          </w:p>
        </w:tc>
      </w:tr>
      <w:tr w14:paraId="5472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40" w:type="dxa"/>
            <w:noWrap/>
            <w:vAlign w:val="center"/>
          </w:tcPr>
          <w:p w14:paraId="397DEDA6">
            <w:pPr>
              <w:spacing w:line="360" w:lineRule="exact"/>
              <w:ind w:right="80" w:rightChars="38"/>
              <w:rPr>
                <w:rFonts w:ascii="仿宋" w:hAnsi="仿宋" w:eastAsia="仿宋" w:cs="仿宋"/>
                <w:bCs/>
                <w:sz w:val="24"/>
              </w:rPr>
            </w:pPr>
          </w:p>
        </w:tc>
        <w:tc>
          <w:tcPr>
            <w:tcW w:w="1052" w:type="dxa"/>
            <w:noWrap/>
            <w:vAlign w:val="center"/>
          </w:tcPr>
          <w:p w14:paraId="2CE9D6C0">
            <w:pPr>
              <w:spacing w:line="360" w:lineRule="exact"/>
              <w:ind w:right="80" w:rightChars="38"/>
              <w:rPr>
                <w:rFonts w:ascii="仿宋" w:hAnsi="仿宋" w:eastAsia="仿宋" w:cs="仿宋"/>
                <w:bCs/>
                <w:sz w:val="24"/>
              </w:rPr>
            </w:pPr>
          </w:p>
        </w:tc>
        <w:tc>
          <w:tcPr>
            <w:tcW w:w="1257" w:type="dxa"/>
            <w:noWrap/>
            <w:vAlign w:val="center"/>
          </w:tcPr>
          <w:p w14:paraId="2E9F6A35">
            <w:pPr>
              <w:spacing w:line="360" w:lineRule="exact"/>
              <w:ind w:right="80" w:rightChars="38"/>
              <w:rPr>
                <w:rFonts w:ascii="仿宋" w:hAnsi="仿宋" w:eastAsia="仿宋" w:cs="仿宋"/>
                <w:bCs/>
                <w:sz w:val="24"/>
              </w:rPr>
            </w:pPr>
          </w:p>
        </w:tc>
        <w:tc>
          <w:tcPr>
            <w:tcW w:w="1843" w:type="dxa"/>
            <w:gridSpan w:val="2"/>
            <w:noWrap/>
            <w:vAlign w:val="center"/>
          </w:tcPr>
          <w:p w14:paraId="06E1F34C">
            <w:pPr>
              <w:spacing w:line="360" w:lineRule="exact"/>
              <w:ind w:right="80" w:rightChars="38"/>
              <w:rPr>
                <w:rFonts w:ascii="仿宋" w:hAnsi="仿宋" w:eastAsia="仿宋" w:cs="仿宋"/>
                <w:bCs/>
                <w:sz w:val="24"/>
              </w:rPr>
            </w:pPr>
          </w:p>
        </w:tc>
        <w:tc>
          <w:tcPr>
            <w:tcW w:w="1804" w:type="dxa"/>
            <w:gridSpan w:val="3"/>
            <w:noWrap/>
            <w:vAlign w:val="center"/>
          </w:tcPr>
          <w:p w14:paraId="50272F06">
            <w:pPr>
              <w:spacing w:line="360" w:lineRule="exact"/>
              <w:ind w:right="80" w:rightChars="38"/>
              <w:rPr>
                <w:rFonts w:ascii="仿宋" w:hAnsi="仿宋" w:eastAsia="仿宋" w:cs="仿宋"/>
                <w:bCs/>
                <w:sz w:val="24"/>
              </w:rPr>
            </w:pPr>
          </w:p>
        </w:tc>
        <w:tc>
          <w:tcPr>
            <w:tcW w:w="2014" w:type="dxa"/>
            <w:noWrap/>
            <w:vAlign w:val="center"/>
          </w:tcPr>
          <w:p w14:paraId="1BE5FAE2">
            <w:pPr>
              <w:spacing w:line="360" w:lineRule="exact"/>
              <w:ind w:right="80" w:rightChars="38"/>
              <w:rPr>
                <w:rFonts w:ascii="仿宋" w:hAnsi="仿宋" w:eastAsia="仿宋" w:cs="仿宋"/>
                <w:bCs/>
                <w:sz w:val="24"/>
              </w:rPr>
            </w:pPr>
          </w:p>
        </w:tc>
      </w:tr>
      <w:tr w14:paraId="29A6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40" w:type="dxa"/>
            <w:noWrap/>
            <w:vAlign w:val="center"/>
          </w:tcPr>
          <w:p w14:paraId="4AAC8F8F">
            <w:pPr>
              <w:spacing w:line="360" w:lineRule="exact"/>
              <w:ind w:right="80" w:rightChars="38"/>
              <w:rPr>
                <w:rFonts w:ascii="仿宋" w:hAnsi="仿宋" w:eastAsia="仿宋" w:cs="仿宋"/>
                <w:bCs/>
                <w:sz w:val="24"/>
              </w:rPr>
            </w:pPr>
          </w:p>
        </w:tc>
        <w:tc>
          <w:tcPr>
            <w:tcW w:w="1052" w:type="dxa"/>
            <w:noWrap/>
            <w:vAlign w:val="center"/>
          </w:tcPr>
          <w:p w14:paraId="5CC300D1">
            <w:pPr>
              <w:spacing w:line="360" w:lineRule="exact"/>
              <w:ind w:right="80" w:rightChars="38"/>
              <w:rPr>
                <w:rFonts w:ascii="仿宋" w:hAnsi="仿宋" w:eastAsia="仿宋" w:cs="仿宋"/>
                <w:bCs/>
                <w:sz w:val="24"/>
              </w:rPr>
            </w:pPr>
          </w:p>
        </w:tc>
        <w:tc>
          <w:tcPr>
            <w:tcW w:w="1257" w:type="dxa"/>
            <w:noWrap/>
            <w:vAlign w:val="center"/>
          </w:tcPr>
          <w:p w14:paraId="316A9C27">
            <w:pPr>
              <w:spacing w:line="360" w:lineRule="exact"/>
              <w:ind w:right="80" w:rightChars="38"/>
              <w:rPr>
                <w:rFonts w:ascii="仿宋" w:hAnsi="仿宋" w:eastAsia="仿宋" w:cs="仿宋"/>
                <w:bCs/>
                <w:sz w:val="24"/>
              </w:rPr>
            </w:pPr>
          </w:p>
        </w:tc>
        <w:tc>
          <w:tcPr>
            <w:tcW w:w="1843" w:type="dxa"/>
            <w:gridSpan w:val="2"/>
            <w:noWrap/>
            <w:vAlign w:val="center"/>
          </w:tcPr>
          <w:p w14:paraId="40D6802C">
            <w:pPr>
              <w:spacing w:line="360" w:lineRule="exact"/>
              <w:ind w:right="80" w:rightChars="38"/>
              <w:rPr>
                <w:rFonts w:ascii="仿宋" w:hAnsi="仿宋" w:eastAsia="仿宋" w:cs="仿宋"/>
                <w:bCs/>
                <w:sz w:val="24"/>
              </w:rPr>
            </w:pPr>
          </w:p>
        </w:tc>
        <w:tc>
          <w:tcPr>
            <w:tcW w:w="1804" w:type="dxa"/>
            <w:gridSpan w:val="3"/>
            <w:noWrap/>
            <w:vAlign w:val="center"/>
          </w:tcPr>
          <w:p w14:paraId="177F49B6">
            <w:pPr>
              <w:spacing w:line="360" w:lineRule="exact"/>
              <w:ind w:right="80" w:rightChars="38"/>
              <w:rPr>
                <w:rFonts w:ascii="仿宋" w:hAnsi="仿宋" w:eastAsia="仿宋" w:cs="仿宋"/>
                <w:bCs/>
                <w:sz w:val="24"/>
              </w:rPr>
            </w:pPr>
          </w:p>
        </w:tc>
        <w:tc>
          <w:tcPr>
            <w:tcW w:w="2014" w:type="dxa"/>
            <w:noWrap/>
            <w:vAlign w:val="center"/>
          </w:tcPr>
          <w:p w14:paraId="172CE04D">
            <w:pPr>
              <w:spacing w:line="360" w:lineRule="exact"/>
              <w:ind w:right="80" w:rightChars="38"/>
              <w:rPr>
                <w:rFonts w:ascii="仿宋" w:hAnsi="仿宋" w:eastAsia="仿宋" w:cs="仿宋"/>
                <w:bCs/>
                <w:sz w:val="24"/>
              </w:rPr>
            </w:pPr>
          </w:p>
        </w:tc>
      </w:tr>
      <w:tr w14:paraId="4890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40" w:type="dxa"/>
            <w:noWrap/>
            <w:vAlign w:val="center"/>
          </w:tcPr>
          <w:p w14:paraId="25D31E42">
            <w:pPr>
              <w:spacing w:line="360" w:lineRule="exact"/>
              <w:ind w:right="80" w:rightChars="38"/>
              <w:rPr>
                <w:rFonts w:ascii="仿宋" w:hAnsi="仿宋" w:eastAsia="仿宋" w:cs="仿宋"/>
                <w:bCs/>
                <w:sz w:val="24"/>
              </w:rPr>
            </w:pPr>
          </w:p>
        </w:tc>
        <w:tc>
          <w:tcPr>
            <w:tcW w:w="1052" w:type="dxa"/>
            <w:noWrap/>
            <w:vAlign w:val="center"/>
          </w:tcPr>
          <w:p w14:paraId="10D04789">
            <w:pPr>
              <w:spacing w:line="360" w:lineRule="exact"/>
              <w:ind w:right="80" w:rightChars="38"/>
              <w:rPr>
                <w:rFonts w:ascii="仿宋" w:hAnsi="仿宋" w:eastAsia="仿宋" w:cs="仿宋"/>
                <w:bCs/>
                <w:sz w:val="24"/>
              </w:rPr>
            </w:pPr>
          </w:p>
        </w:tc>
        <w:tc>
          <w:tcPr>
            <w:tcW w:w="1257" w:type="dxa"/>
            <w:noWrap/>
            <w:vAlign w:val="center"/>
          </w:tcPr>
          <w:p w14:paraId="093181F3">
            <w:pPr>
              <w:spacing w:line="360" w:lineRule="exact"/>
              <w:ind w:right="80" w:rightChars="38"/>
              <w:rPr>
                <w:rFonts w:ascii="仿宋" w:hAnsi="仿宋" w:eastAsia="仿宋" w:cs="仿宋"/>
                <w:bCs/>
                <w:sz w:val="24"/>
              </w:rPr>
            </w:pPr>
          </w:p>
        </w:tc>
        <w:tc>
          <w:tcPr>
            <w:tcW w:w="1843" w:type="dxa"/>
            <w:gridSpan w:val="2"/>
            <w:noWrap/>
            <w:vAlign w:val="center"/>
          </w:tcPr>
          <w:p w14:paraId="5F03F173">
            <w:pPr>
              <w:spacing w:line="360" w:lineRule="exact"/>
              <w:ind w:right="80" w:rightChars="38"/>
              <w:rPr>
                <w:rFonts w:ascii="仿宋" w:hAnsi="仿宋" w:eastAsia="仿宋" w:cs="仿宋"/>
                <w:bCs/>
                <w:sz w:val="24"/>
              </w:rPr>
            </w:pPr>
          </w:p>
        </w:tc>
        <w:tc>
          <w:tcPr>
            <w:tcW w:w="1804" w:type="dxa"/>
            <w:gridSpan w:val="3"/>
            <w:noWrap/>
            <w:vAlign w:val="center"/>
          </w:tcPr>
          <w:p w14:paraId="607C4DAA">
            <w:pPr>
              <w:spacing w:line="360" w:lineRule="exact"/>
              <w:ind w:right="80" w:rightChars="38"/>
              <w:rPr>
                <w:rFonts w:ascii="仿宋" w:hAnsi="仿宋" w:eastAsia="仿宋" w:cs="仿宋"/>
                <w:bCs/>
                <w:sz w:val="24"/>
              </w:rPr>
            </w:pPr>
          </w:p>
        </w:tc>
        <w:tc>
          <w:tcPr>
            <w:tcW w:w="2014" w:type="dxa"/>
            <w:noWrap/>
            <w:vAlign w:val="center"/>
          </w:tcPr>
          <w:p w14:paraId="4DF60E70">
            <w:pPr>
              <w:spacing w:line="360" w:lineRule="exact"/>
              <w:ind w:right="80" w:rightChars="38"/>
              <w:rPr>
                <w:rFonts w:ascii="仿宋" w:hAnsi="仿宋" w:eastAsia="仿宋" w:cs="仿宋"/>
                <w:bCs/>
                <w:sz w:val="24"/>
              </w:rPr>
            </w:pPr>
          </w:p>
        </w:tc>
      </w:tr>
      <w:tr w14:paraId="71B4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40" w:type="dxa"/>
            <w:noWrap/>
            <w:vAlign w:val="center"/>
          </w:tcPr>
          <w:p w14:paraId="29AA88D2">
            <w:pPr>
              <w:spacing w:line="360" w:lineRule="exact"/>
              <w:ind w:right="80" w:rightChars="38"/>
              <w:rPr>
                <w:rFonts w:ascii="仿宋" w:hAnsi="仿宋" w:eastAsia="仿宋" w:cs="仿宋"/>
                <w:bCs/>
                <w:sz w:val="24"/>
              </w:rPr>
            </w:pPr>
          </w:p>
        </w:tc>
        <w:tc>
          <w:tcPr>
            <w:tcW w:w="1052" w:type="dxa"/>
            <w:noWrap/>
            <w:vAlign w:val="center"/>
          </w:tcPr>
          <w:p w14:paraId="10F5A78E">
            <w:pPr>
              <w:spacing w:line="360" w:lineRule="exact"/>
              <w:ind w:right="80" w:rightChars="38"/>
              <w:rPr>
                <w:rFonts w:ascii="仿宋" w:hAnsi="仿宋" w:eastAsia="仿宋" w:cs="仿宋"/>
                <w:bCs/>
                <w:sz w:val="24"/>
              </w:rPr>
            </w:pPr>
          </w:p>
        </w:tc>
        <w:tc>
          <w:tcPr>
            <w:tcW w:w="1257" w:type="dxa"/>
            <w:noWrap/>
            <w:vAlign w:val="center"/>
          </w:tcPr>
          <w:p w14:paraId="57FF08CA">
            <w:pPr>
              <w:spacing w:line="360" w:lineRule="exact"/>
              <w:ind w:right="80" w:rightChars="38"/>
              <w:rPr>
                <w:rFonts w:ascii="仿宋" w:hAnsi="仿宋" w:eastAsia="仿宋" w:cs="仿宋"/>
                <w:bCs/>
                <w:sz w:val="24"/>
              </w:rPr>
            </w:pPr>
          </w:p>
        </w:tc>
        <w:tc>
          <w:tcPr>
            <w:tcW w:w="1843" w:type="dxa"/>
            <w:gridSpan w:val="2"/>
            <w:noWrap/>
            <w:vAlign w:val="center"/>
          </w:tcPr>
          <w:p w14:paraId="4BF46780">
            <w:pPr>
              <w:spacing w:line="360" w:lineRule="exact"/>
              <w:ind w:right="80" w:rightChars="38"/>
              <w:rPr>
                <w:rFonts w:ascii="仿宋" w:hAnsi="仿宋" w:eastAsia="仿宋" w:cs="仿宋"/>
                <w:bCs/>
                <w:sz w:val="24"/>
              </w:rPr>
            </w:pPr>
          </w:p>
        </w:tc>
        <w:tc>
          <w:tcPr>
            <w:tcW w:w="1804" w:type="dxa"/>
            <w:gridSpan w:val="3"/>
            <w:noWrap/>
            <w:vAlign w:val="center"/>
          </w:tcPr>
          <w:p w14:paraId="42EE6C61">
            <w:pPr>
              <w:spacing w:line="360" w:lineRule="exact"/>
              <w:ind w:right="80" w:rightChars="38"/>
              <w:rPr>
                <w:rFonts w:ascii="仿宋" w:hAnsi="仿宋" w:eastAsia="仿宋" w:cs="仿宋"/>
                <w:bCs/>
                <w:sz w:val="24"/>
              </w:rPr>
            </w:pPr>
          </w:p>
        </w:tc>
        <w:tc>
          <w:tcPr>
            <w:tcW w:w="2014" w:type="dxa"/>
            <w:noWrap/>
            <w:vAlign w:val="center"/>
          </w:tcPr>
          <w:p w14:paraId="2D5260DF">
            <w:pPr>
              <w:spacing w:line="360" w:lineRule="exact"/>
              <w:ind w:right="80" w:rightChars="38"/>
              <w:rPr>
                <w:rFonts w:ascii="仿宋" w:hAnsi="仿宋" w:eastAsia="仿宋" w:cs="仿宋"/>
                <w:bCs/>
                <w:sz w:val="24"/>
              </w:rPr>
            </w:pPr>
          </w:p>
        </w:tc>
      </w:tr>
      <w:tr w14:paraId="5757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0" w:type="dxa"/>
            <w:noWrap/>
            <w:vAlign w:val="center"/>
          </w:tcPr>
          <w:p w14:paraId="784D9D33">
            <w:pPr>
              <w:spacing w:line="360" w:lineRule="exact"/>
              <w:ind w:right="80" w:rightChars="38"/>
              <w:rPr>
                <w:rFonts w:ascii="仿宋" w:hAnsi="仿宋" w:eastAsia="仿宋" w:cs="仿宋"/>
                <w:b/>
                <w:sz w:val="24"/>
              </w:rPr>
            </w:pPr>
            <w:r>
              <w:rPr>
                <w:rFonts w:hint="eastAsia" w:ascii="仿宋" w:hAnsi="仿宋" w:eastAsia="仿宋" w:cs="仿宋"/>
                <w:b/>
                <w:sz w:val="24"/>
              </w:rPr>
              <w:t>住宿安排</w:t>
            </w:r>
          </w:p>
        </w:tc>
        <w:tc>
          <w:tcPr>
            <w:tcW w:w="7970" w:type="dxa"/>
            <w:gridSpan w:val="8"/>
            <w:noWrap/>
            <w:vAlign w:val="center"/>
          </w:tcPr>
          <w:p w14:paraId="5005CDE5">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14:paraId="2FD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0" w:type="dxa"/>
            <w:noWrap/>
            <w:vAlign w:val="center"/>
          </w:tcPr>
          <w:p w14:paraId="602AA95F">
            <w:pPr>
              <w:spacing w:line="360" w:lineRule="exact"/>
              <w:ind w:right="80" w:rightChars="38"/>
              <w:rPr>
                <w:rFonts w:ascii="仿宋" w:hAnsi="仿宋" w:eastAsia="仿宋" w:cs="仿宋"/>
                <w:b/>
                <w:sz w:val="24"/>
              </w:rPr>
            </w:pPr>
            <w:r>
              <w:rPr>
                <w:rFonts w:hint="eastAsia" w:ascii="仿宋" w:hAnsi="仿宋" w:eastAsia="仿宋" w:cs="仿宋"/>
                <w:b/>
                <w:sz w:val="24"/>
              </w:rPr>
              <w:t>培训地点</w:t>
            </w:r>
          </w:p>
        </w:tc>
        <w:tc>
          <w:tcPr>
            <w:tcW w:w="7970" w:type="dxa"/>
            <w:gridSpan w:val="8"/>
            <w:noWrap/>
            <w:vAlign w:val="center"/>
          </w:tcPr>
          <w:p w14:paraId="63652417">
            <w:pPr>
              <w:spacing w:line="360" w:lineRule="exact"/>
              <w:ind w:right="80" w:rightChars="38"/>
              <w:rPr>
                <w:rFonts w:ascii="仿宋" w:hAnsi="仿宋" w:eastAsia="仿宋" w:cs="仿宋"/>
                <w:bCs/>
                <w:sz w:val="24"/>
              </w:rPr>
            </w:pPr>
            <w:r>
              <w:rPr>
                <w:rFonts w:hint="eastAsia" w:ascii="仿宋" w:hAnsi="仿宋" w:eastAsia="仿宋" w:cs="仿宋"/>
                <w:bCs/>
                <w:sz w:val="24"/>
              </w:rPr>
              <w:t>□南宁市  □太原市  □成都市  □杭州市  □武汉市  □西安市</w:t>
            </w:r>
          </w:p>
        </w:tc>
      </w:tr>
      <w:tr w14:paraId="0412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40" w:type="dxa"/>
            <w:noWrap/>
            <w:vAlign w:val="center"/>
          </w:tcPr>
          <w:p w14:paraId="3E9A1A3E">
            <w:pPr>
              <w:rPr>
                <w:rFonts w:ascii="仿宋" w:hAnsi="仿宋" w:eastAsia="仿宋" w:cs="仿宋"/>
                <w:b/>
                <w:sz w:val="24"/>
              </w:rPr>
            </w:pPr>
            <w:r>
              <w:rPr>
                <w:rFonts w:hint="eastAsia" w:ascii="仿宋" w:hAnsi="仿宋" w:eastAsia="仿宋" w:cs="仿宋"/>
                <w:b/>
                <w:sz w:val="24"/>
              </w:rPr>
              <w:t>标准选项</w:t>
            </w:r>
          </w:p>
        </w:tc>
        <w:tc>
          <w:tcPr>
            <w:tcW w:w="4135" w:type="dxa"/>
            <w:gridSpan w:val="3"/>
            <w:noWrap/>
          </w:tcPr>
          <w:p w14:paraId="20BC67C9">
            <w:pPr>
              <w:spacing w:line="360" w:lineRule="auto"/>
              <w:rPr>
                <w:rFonts w:ascii="仿宋" w:hAnsi="仿宋" w:eastAsia="仿宋" w:cs="仿宋"/>
                <w:bCs/>
                <w:sz w:val="24"/>
              </w:rPr>
            </w:pPr>
            <w:r>
              <w:rPr>
                <w:rFonts w:hint="eastAsia" w:ascii="仿宋" w:hAnsi="仿宋" w:eastAsia="仿宋" w:cs="仿宋"/>
                <w:bCs/>
                <w:sz w:val="24"/>
              </w:rPr>
              <w:t>A□3980元     B</w:t>
            </w:r>
            <w:r>
              <w:rPr>
                <w:rFonts w:hint="eastAsia" w:ascii="仿宋" w:hAnsi="仿宋" w:eastAsia="仿宋" w:cs="仿宋"/>
                <w:bCs/>
                <w:sz w:val="24"/>
                <w:lang w:eastAsia="zh-CN"/>
              </w:rPr>
              <w:t>□</w:t>
            </w:r>
            <w:r>
              <w:rPr>
                <w:rFonts w:hint="eastAsia" w:ascii="仿宋" w:hAnsi="仿宋" w:eastAsia="仿宋" w:cs="仿宋"/>
                <w:bCs/>
                <w:sz w:val="24"/>
              </w:rPr>
              <w:t>28000元</w:t>
            </w:r>
          </w:p>
          <w:p w14:paraId="369A9562">
            <w:pPr>
              <w:spacing w:line="360" w:lineRule="auto"/>
              <w:rPr>
                <w:rFonts w:ascii="仿宋" w:hAnsi="仿宋" w:eastAsia="仿宋" w:cs="仿宋"/>
                <w:bCs/>
                <w:sz w:val="24"/>
              </w:rPr>
            </w:pPr>
            <w:r>
              <w:rPr>
                <w:rFonts w:hint="eastAsia" w:ascii="仿宋" w:hAnsi="仿宋" w:eastAsia="仿宋" w:cs="仿宋"/>
                <w:bCs/>
                <w:sz w:val="24"/>
              </w:rPr>
              <w:t>C□50000元</w:t>
            </w:r>
          </w:p>
        </w:tc>
        <w:tc>
          <w:tcPr>
            <w:tcW w:w="1045" w:type="dxa"/>
            <w:gridSpan w:val="3"/>
            <w:noWrap/>
          </w:tcPr>
          <w:p w14:paraId="52032568">
            <w:pPr>
              <w:spacing w:line="720" w:lineRule="auto"/>
              <w:ind w:left="241" w:hanging="241" w:hangingChars="100"/>
              <w:jc w:val="left"/>
              <w:rPr>
                <w:rFonts w:ascii="仿宋" w:hAnsi="仿宋" w:eastAsia="仿宋" w:cs="仿宋"/>
                <w:bCs/>
                <w:sz w:val="24"/>
              </w:rPr>
            </w:pPr>
            <w:r>
              <w:rPr>
                <w:rFonts w:hint="eastAsia" w:ascii="仿宋" w:hAnsi="仿宋" w:eastAsia="仿宋" w:cs="仿宋"/>
                <w:b/>
                <w:sz w:val="24"/>
              </w:rPr>
              <w:t>金  额</w:t>
            </w:r>
          </w:p>
        </w:tc>
        <w:tc>
          <w:tcPr>
            <w:tcW w:w="2790" w:type="dxa"/>
            <w:gridSpan w:val="2"/>
            <w:noWrap/>
          </w:tcPr>
          <w:p w14:paraId="1E8306E0">
            <w:pPr>
              <w:spacing w:line="360" w:lineRule="auto"/>
              <w:jc w:val="left"/>
              <w:rPr>
                <w:rFonts w:ascii="仿宋" w:hAnsi="仿宋" w:eastAsia="仿宋" w:cs="仿宋"/>
                <w:bCs/>
                <w:sz w:val="24"/>
              </w:rPr>
            </w:pPr>
          </w:p>
        </w:tc>
      </w:tr>
      <w:tr w14:paraId="7A1C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0" w:type="dxa"/>
            <w:shd w:val="clear" w:color="auto" w:fill="auto"/>
            <w:noWrap/>
            <w:vAlign w:val="center"/>
          </w:tcPr>
          <w:p w14:paraId="5B6B09C7">
            <w:pPr>
              <w:ind w:right="122"/>
              <w:jc w:val="left"/>
              <w:rPr>
                <w:rFonts w:ascii="仿宋" w:hAnsi="仿宋" w:eastAsia="仿宋" w:cs="仿宋"/>
                <w:b/>
                <w:sz w:val="24"/>
              </w:rPr>
            </w:pPr>
            <w:r>
              <w:rPr>
                <w:rFonts w:hint="eastAsia" w:ascii="仿宋" w:hAnsi="仿宋" w:eastAsia="仿宋" w:cs="仿宋"/>
                <w:b/>
                <w:sz w:val="24"/>
              </w:rPr>
              <w:t>证书申报</w:t>
            </w:r>
          </w:p>
        </w:tc>
        <w:tc>
          <w:tcPr>
            <w:tcW w:w="7970" w:type="dxa"/>
            <w:gridSpan w:val="8"/>
            <w:shd w:val="clear" w:color="auto" w:fill="auto"/>
            <w:noWrap/>
          </w:tcPr>
          <w:p w14:paraId="1ECA9341">
            <w:pPr>
              <w:spacing w:line="360" w:lineRule="auto"/>
              <w:ind w:right="122"/>
              <w:rPr>
                <w:rFonts w:ascii="仿宋" w:hAnsi="仿宋" w:eastAsia="仿宋" w:cs="仿宋"/>
                <w:bCs/>
                <w:szCs w:val="21"/>
              </w:rPr>
            </w:pPr>
            <w:r>
              <w:rPr>
                <w:rFonts w:hint="eastAsia" w:ascii="仿宋" w:hAnsi="仿宋" w:eastAsia="仿宋" w:cs="仿宋"/>
                <w:bCs/>
                <w:sz w:val="24"/>
              </w:rPr>
              <w:t>□商务经理     □成本经理   □造价经理   □项目经理</w:t>
            </w:r>
          </w:p>
        </w:tc>
      </w:tr>
      <w:tr w14:paraId="3966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340" w:type="dxa"/>
            <w:noWrap/>
            <w:vAlign w:val="center"/>
          </w:tcPr>
          <w:p w14:paraId="79103736">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7970" w:type="dxa"/>
            <w:gridSpan w:val="8"/>
            <w:noWrap/>
          </w:tcPr>
          <w:p w14:paraId="613BB931">
            <w:pPr>
              <w:spacing w:line="240" w:lineRule="auto"/>
              <w:ind w:right="80" w:rightChars="38"/>
              <w:rPr>
                <w:rFonts w:ascii="仿宋" w:hAnsi="仿宋" w:eastAsia="仿宋" w:cs="仿宋"/>
                <w:sz w:val="24"/>
              </w:rPr>
            </w:pPr>
            <w:r>
              <w:rPr>
                <w:rFonts w:hint="eastAsia" w:ascii="仿宋" w:hAnsi="仿宋" w:eastAsia="仿宋" w:cs="仿宋"/>
                <w:sz w:val="24"/>
              </w:rPr>
              <w:t>增值税（□普通□专用）发票,开票信息如下：</w:t>
            </w:r>
          </w:p>
          <w:p w14:paraId="0CAD16B3">
            <w:pPr>
              <w:spacing w:line="240" w:lineRule="auto"/>
              <w:ind w:right="80" w:rightChars="38"/>
              <w:rPr>
                <w:rFonts w:ascii="仿宋" w:hAnsi="仿宋" w:eastAsia="仿宋" w:cs="仿宋"/>
                <w:sz w:val="24"/>
              </w:rPr>
            </w:pPr>
            <w:r>
              <w:rPr>
                <w:rFonts w:hint="eastAsia" w:ascii="仿宋" w:hAnsi="仿宋" w:eastAsia="仿宋" w:cs="仿宋"/>
                <w:sz w:val="24"/>
              </w:rPr>
              <w:t>单 位 名 称：</w:t>
            </w:r>
          </w:p>
          <w:p w14:paraId="778BDBBB">
            <w:pPr>
              <w:spacing w:line="240" w:lineRule="auto"/>
              <w:ind w:right="80" w:rightChars="38"/>
              <w:rPr>
                <w:rFonts w:ascii="仿宋" w:hAnsi="仿宋" w:eastAsia="仿宋" w:cs="仿宋"/>
                <w:sz w:val="24"/>
              </w:rPr>
            </w:pPr>
            <w:r>
              <w:rPr>
                <w:rFonts w:hint="eastAsia" w:ascii="仿宋" w:hAnsi="仿宋" w:eastAsia="仿宋" w:cs="仿宋"/>
                <w:sz w:val="24"/>
              </w:rPr>
              <w:t>税       号：</w:t>
            </w:r>
          </w:p>
          <w:p w14:paraId="11DF6BB8">
            <w:pPr>
              <w:spacing w:line="240" w:lineRule="auto"/>
              <w:ind w:right="80" w:rightChars="38"/>
              <w:rPr>
                <w:rFonts w:ascii="仿宋" w:hAnsi="仿宋" w:eastAsia="仿宋" w:cs="仿宋"/>
                <w:sz w:val="24"/>
              </w:rPr>
            </w:pPr>
            <w:r>
              <w:rPr>
                <w:rFonts w:hint="eastAsia" w:ascii="仿宋" w:hAnsi="仿宋" w:eastAsia="仿宋" w:cs="仿宋"/>
                <w:sz w:val="24"/>
              </w:rPr>
              <w:t>地址、 电话：</w:t>
            </w:r>
          </w:p>
          <w:p w14:paraId="4B29CC6A">
            <w:pPr>
              <w:spacing w:line="240" w:lineRule="auto"/>
              <w:ind w:right="80" w:rightChars="38"/>
              <w:rPr>
                <w:rFonts w:ascii="仿宋" w:hAnsi="仿宋" w:eastAsia="仿宋" w:cs="仿宋"/>
                <w:bCs/>
                <w:sz w:val="24"/>
              </w:rPr>
            </w:pPr>
            <w:r>
              <w:rPr>
                <w:rFonts w:hint="eastAsia" w:ascii="仿宋" w:hAnsi="仿宋" w:eastAsia="仿宋" w:cs="仿宋"/>
                <w:sz w:val="24"/>
              </w:rPr>
              <w:t>开户行、账号：</w:t>
            </w:r>
          </w:p>
        </w:tc>
      </w:tr>
      <w:tr w14:paraId="5E32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340" w:type="dxa"/>
            <w:noWrap/>
            <w:vAlign w:val="center"/>
          </w:tcPr>
          <w:p w14:paraId="051C6FF6">
            <w:pPr>
              <w:spacing w:line="360" w:lineRule="exact"/>
              <w:ind w:right="80" w:rightChars="38"/>
              <w:rPr>
                <w:rFonts w:ascii="仿宋" w:hAnsi="仿宋" w:eastAsia="仿宋" w:cs="仿宋"/>
                <w:bCs/>
                <w:sz w:val="24"/>
                <w:lang w:val="zh-CN" w:bidi="zh-CN"/>
              </w:rPr>
            </w:pPr>
            <w:r>
              <w:rPr>
                <w:rFonts w:hint="eastAsia" w:ascii="仿宋" w:hAnsi="仿宋" w:eastAsia="仿宋" w:cs="仿宋"/>
                <w:b/>
                <w:bCs/>
                <w:sz w:val="24"/>
              </w:rPr>
              <w:t>指定收款账    户</w:t>
            </w:r>
          </w:p>
        </w:tc>
        <w:tc>
          <w:tcPr>
            <w:tcW w:w="7970" w:type="dxa"/>
            <w:gridSpan w:val="8"/>
            <w:noWrap/>
            <w:vAlign w:val="center"/>
          </w:tcPr>
          <w:p w14:paraId="13886F4D">
            <w:pPr>
              <w:spacing w:line="360" w:lineRule="auto"/>
              <w:ind w:right="80" w:rightChars="38"/>
              <w:rPr>
                <w:rFonts w:hint="eastAsia" w:ascii="仿宋" w:hAnsi="仿宋" w:eastAsia="仿宋" w:cs="仿宋"/>
                <w:sz w:val="24"/>
                <w:lang w:val="en-US" w:eastAsia="zh-CN"/>
              </w:rPr>
            </w:pPr>
            <w:r>
              <w:rPr>
                <w:rFonts w:hint="eastAsia" w:ascii="仿宋" w:hAnsi="仿宋" w:eastAsia="仿宋" w:cs="仿宋"/>
                <w:sz w:val="24"/>
                <w:lang w:val="en-US" w:eastAsia="zh-CN"/>
              </w:rPr>
              <w:t>单位名称：北京众兴企培咨询有限公司</w:t>
            </w:r>
          </w:p>
          <w:p w14:paraId="137CF206">
            <w:pPr>
              <w:spacing w:line="360" w:lineRule="auto"/>
              <w:ind w:right="80" w:rightChars="38"/>
              <w:rPr>
                <w:rFonts w:hint="eastAsia" w:ascii="仿宋" w:hAnsi="仿宋" w:eastAsia="仿宋" w:cs="仿宋"/>
                <w:sz w:val="24"/>
                <w:lang w:val="en-US" w:eastAsia="zh-CN"/>
              </w:rPr>
            </w:pPr>
            <w:r>
              <w:rPr>
                <w:rFonts w:hint="eastAsia" w:ascii="仿宋" w:hAnsi="仿宋" w:eastAsia="仿宋" w:cs="仿宋"/>
                <w:sz w:val="24"/>
                <w:lang w:val="en-US" w:eastAsia="zh-CN"/>
              </w:rPr>
              <w:t>开户行：中国工商银行股份有限公司北京龙泉支行</w:t>
            </w:r>
          </w:p>
          <w:p w14:paraId="7AEC6C0C">
            <w:pPr>
              <w:spacing w:line="360" w:lineRule="auto"/>
              <w:ind w:right="80" w:rightChars="38"/>
              <w:rPr>
                <w:rFonts w:ascii="仿宋" w:hAnsi="仿宋" w:eastAsia="仿宋" w:cs="仿宋"/>
                <w:bCs/>
                <w:sz w:val="24"/>
                <w:lang w:bidi="zh-CN"/>
              </w:rPr>
            </w:pPr>
            <w:r>
              <w:rPr>
                <w:rFonts w:hint="eastAsia" w:ascii="仿宋" w:hAnsi="仿宋" w:eastAsia="仿宋" w:cs="仿宋"/>
                <w:sz w:val="24"/>
                <w:lang w:val="en-US" w:eastAsia="zh-CN"/>
              </w:rPr>
              <w:t>账  号：0200002009200234085（行号：102100000208)</w:t>
            </w:r>
          </w:p>
        </w:tc>
      </w:tr>
    </w:tbl>
    <w:p w14:paraId="0589A917">
      <w:pPr>
        <w:spacing w:line="360" w:lineRule="auto"/>
        <w:ind w:right="122" w:firstLine="480" w:firstLineChars="200"/>
        <w:rPr>
          <w:rFonts w:ascii="仿宋" w:hAnsi="仿宋" w:eastAsia="仿宋" w:cs="仿宋"/>
          <w:bCs/>
          <w:sz w:val="24"/>
        </w:rPr>
      </w:pPr>
      <w:r>
        <w:rPr>
          <w:rFonts w:hint="eastAsia" w:ascii="仿宋" w:hAnsi="仿宋" w:eastAsia="仿宋" w:cs="仿宋"/>
          <w:bCs/>
          <w:sz w:val="24"/>
        </w:rPr>
        <w:t>备注： 1、请尽早报名，额满为止。参会报名表复制有效</w:t>
      </w:r>
    </w:p>
    <w:p w14:paraId="6E11868A">
      <w:pPr>
        <w:spacing w:line="360" w:lineRule="auto"/>
        <w:ind w:right="122"/>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color w:val="FF0000"/>
          <w:sz w:val="24"/>
        </w:rPr>
        <w:t xml:space="preserve">  </w:t>
      </w:r>
      <w:r>
        <w:rPr>
          <w:rFonts w:hint="eastAsia" w:ascii="仿宋" w:hAnsi="仿宋" w:eastAsia="仿宋" w:cs="仿宋"/>
          <w:bCs/>
          <w:sz w:val="24"/>
        </w:rPr>
        <w:t xml:space="preserve">     2、报名负责人：聂红军 主任18211071700（微信）   </w:t>
      </w:r>
    </w:p>
    <w:p w14:paraId="280390F8">
      <w:pPr>
        <w:spacing w:line="360" w:lineRule="auto"/>
        <w:ind w:right="122" w:firstLine="1680" w:firstLineChars="700"/>
        <w:rPr>
          <w:rFonts w:hint="eastAsia" w:ascii="仿宋" w:hAnsi="仿宋" w:eastAsia="仿宋" w:cs="仿宋"/>
          <w:bCs/>
          <w:sz w:val="24"/>
        </w:rPr>
      </w:pPr>
      <w:r>
        <w:rPr>
          <w:rFonts w:hint="eastAsia" w:ascii="仿宋" w:hAnsi="仿宋" w:eastAsia="仿宋" w:cs="仿宋"/>
          <w:bCs/>
          <w:sz w:val="24"/>
        </w:rPr>
        <w:t xml:space="preserve">电    话：13141289128        邮    箱：zqgphwz@126.com  </w:t>
      </w:r>
    </w:p>
    <w:p w14:paraId="41A12863">
      <w:pPr>
        <w:spacing w:line="360" w:lineRule="auto"/>
        <w:ind w:right="122" w:firstLine="1680" w:firstLineChars="700"/>
      </w:pPr>
      <w:r>
        <w:rPr>
          <w:rFonts w:hint="eastAsia" w:ascii="仿宋" w:hAnsi="仿宋" w:eastAsia="仿宋" w:cs="仿宋"/>
          <w:bCs/>
          <w:sz w:val="24"/>
        </w:rPr>
        <w:t xml:space="preserve">qq咨询：3177524020          网    址：http://www.zqgpchina.cn    </w:t>
      </w:r>
      <w:bookmarkStart w:id="1" w:name="_GoBack"/>
      <w:bookmarkEnd w:id="1"/>
    </w:p>
    <w:sectPr>
      <w:footerReference r:id="rId3" w:type="default"/>
      <w:pgSz w:w="11906" w:h="16838"/>
      <w:pgMar w:top="1270" w:right="1133" w:bottom="127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F74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A1B501">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14:paraId="78A1B50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OWEzN2Y5ZGYxYTY2NDAzN2JhMDllZmNiOTE0OTEifQ=="/>
  </w:docVars>
  <w:rsids>
    <w:rsidRoot w:val="52BA4540"/>
    <w:rsid w:val="00000270"/>
    <w:rsid w:val="00150160"/>
    <w:rsid w:val="00213320"/>
    <w:rsid w:val="00387770"/>
    <w:rsid w:val="0060459A"/>
    <w:rsid w:val="006C233B"/>
    <w:rsid w:val="00767CED"/>
    <w:rsid w:val="00831B5C"/>
    <w:rsid w:val="008C6D08"/>
    <w:rsid w:val="00940B8F"/>
    <w:rsid w:val="00971E24"/>
    <w:rsid w:val="00AF5A15"/>
    <w:rsid w:val="00BE744B"/>
    <w:rsid w:val="00D01D9C"/>
    <w:rsid w:val="00EF7B2D"/>
    <w:rsid w:val="00FD14F0"/>
    <w:rsid w:val="02807BD4"/>
    <w:rsid w:val="031C2553"/>
    <w:rsid w:val="062B03BE"/>
    <w:rsid w:val="069854E9"/>
    <w:rsid w:val="06A122E1"/>
    <w:rsid w:val="07247696"/>
    <w:rsid w:val="09000A8C"/>
    <w:rsid w:val="094A296F"/>
    <w:rsid w:val="099C43EE"/>
    <w:rsid w:val="0A4817E5"/>
    <w:rsid w:val="0AA75F99"/>
    <w:rsid w:val="0ABB6432"/>
    <w:rsid w:val="0AF344C3"/>
    <w:rsid w:val="0C1E5DCC"/>
    <w:rsid w:val="0DA01F4C"/>
    <w:rsid w:val="0DB877F3"/>
    <w:rsid w:val="0EA71FE5"/>
    <w:rsid w:val="0FBD42BF"/>
    <w:rsid w:val="10F900DB"/>
    <w:rsid w:val="121512EE"/>
    <w:rsid w:val="12E530F1"/>
    <w:rsid w:val="132105EB"/>
    <w:rsid w:val="13692E5D"/>
    <w:rsid w:val="148F32E9"/>
    <w:rsid w:val="16504596"/>
    <w:rsid w:val="18085389"/>
    <w:rsid w:val="18E07E5A"/>
    <w:rsid w:val="18E303B5"/>
    <w:rsid w:val="1966404B"/>
    <w:rsid w:val="1A942C5A"/>
    <w:rsid w:val="1BAD5FE6"/>
    <w:rsid w:val="1C4E63EC"/>
    <w:rsid w:val="1D5C7817"/>
    <w:rsid w:val="1E327AC3"/>
    <w:rsid w:val="1EEE0DF0"/>
    <w:rsid w:val="1F70661C"/>
    <w:rsid w:val="200A78E9"/>
    <w:rsid w:val="20677580"/>
    <w:rsid w:val="2142553D"/>
    <w:rsid w:val="2174487B"/>
    <w:rsid w:val="21D06ED2"/>
    <w:rsid w:val="22E05EA5"/>
    <w:rsid w:val="238F6508"/>
    <w:rsid w:val="28252B55"/>
    <w:rsid w:val="2C7F752B"/>
    <w:rsid w:val="2E252C61"/>
    <w:rsid w:val="31B604B7"/>
    <w:rsid w:val="31E72C6D"/>
    <w:rsid w:val="33997124"/>
    <w:rsid w:val="33EE4A8E"/>
    <w:rsid w:val="35B83942"/>
    <w:rsid w:val="3622399D"/>
    <w:rsid w:val="3786517C"/>
    <w:rsid w:val="37BF3CB2"/>
    <w:rsid w:val="38EA0422"/>
    <w:rsid w:val="38EA055A"/>
    <w:rsid w:val="3A1319B2"/>
    <w:rsid w:val="3A9A47DC"/>
    <w:rsid w:val="3B1304BF"/>
    <w:rsid w:val="3B8F15CF"/>
    <w:rsid w:val="3DA10D6C"/>
    <w:rsid w:val="3E1066B3"/>
    <w:rsid w:val="412A7D53"/>
    <w:rsid w:val="42B36F75"/>
    <w:rsid w:val="434723A4"/>
    <w:rsid w:val="4515782D"/>
    <w:rsid w:val="45444777"/>
    <w:rsid w:val="4549112E"/>
    <w:rsid w:val="48AF10D5"/>
    <w:rsid w:val="497B5932"/>
    <w:rsid w:val="49D21786"/>
    <w:rsid w:val="4AD93CE9"/>
    <w:rsid w:val="4B6B1A45"/>
    <w:rsid w:val="4D065F7D"/>
    <w:rsid w:val="4E395334"/>
    <w:rsid w:val="4F251D63"/>
    <w:rsid w:val="50406141"/>
    <w:rsid w:val="50D5276F"/>
    <w:rsid w:val="52A37C23"/>
    <w:rsid w:val="52BA4540"/>
    <w:rsid w:val="53E47FE9"/>
    <w:rsid w:val="54EC0A6C"/>
    <w:rsid w:val="553C32C9"/>
    <w:rsid w:val="55525F8E"/>
    <w:rsid w:val="55D1599B"/>
    <w:rsid w:val="563105E9"/>
    <w:rsid w:val="57056335"/>
    <w:rsid w:val="57B67DC0"/>
    <w:rsid w:val="5A21751A"/>
    <w:rsid w:val="5A242806"/>
    <w:rsid w:val="5C065F82"/>
    <w:rsid w:val="5C1024F3"/>
    <w:rsid w:val="5C2E1A3D"/>
    <w:rsid w:val="5C49715E"/>
    <w:rsid w:val="5CE0556F"/>
    <w:rsid w:val="5D12661A"/>
    <w:rsid w:val="5DD6264D"/>
    <w:rsid w:val="5E8C0937"/>
    <w:rsid w:val="5F8E3126"/>
    <w:rsid w:val="60940AF0"/>
    <w:rsid w:val="61915012"/>
    <w:rsid w:val="61FA14C7"/>
    <w:rsid w:val="62D1212E"/>
    <w:rsid w:val="648275DD"/>
    <w:rsid w:val="65BC08CD"/>
    <w:rsid w:val="66124726"/>
    <w:rsid w:val="66500B25"/>
    <w:rsid w:val="67510AEF"/>
    <w:rsid w:val="683A1934"/>
    <w:rsid w:val="68B72EDE"/>
    <w:rsid w:val="696D1EDE"/>
    <w:rsid w:val="6ABB5738"/>
    <w:rsid w:val="6BDB3353"/>
    <w:rsid w:val="6C6450ED"/>
    <w:rsid w:val="6D934609"/>
    <w:rsid w:val="715916C6"/>
    <w:rsid w:val="718A3161"/>
    <w:rsid w:val="71CD72E3"/>
    <w:rsid w:val="731A007D"/>
    <w:rsid w:val="74F80F82"/>
    <w:rsid w:val="750E704A"/>
    <w:rsid w:val="757B3CD3"/>
    <w:rsid w:val="75C534A2"/>
    <w:rsid w:val="75EB48B6"/>
    <w:rsid w:val="77062B32"/>
    <w:rsid w:val="77100891"/>
    <w:rsid w:val="794756F7"/>
    <w:rsid w:val="7A116B86"/>
    <w:rsid w:val="7A484E92"/>
    <w:rsid w:val="7B2745E3"/>
    <w:rsid w:val="7C1B73C2"/>
    <w:rsid w:val="7D284642"/>
    <w:rsid w:val="7D4C1230"/>
    <w:rsid w:val="7E374B3D"/>
    <w:rsid w:val="7FD9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lang w:eastAsia="en-US"/>
    </w:rPr>
  </w:style>
  <w:style w:type="paragraph" w:styleId="3">
    <w:name w:val="Body Text Indent"/>
    <w:basedOn w:val="1"/>
    <w:next w:val="4"/>
    <w:autoRedefine/>
    <w:qFormat/>
    <w:uiPriority w:val="0"/>
    <w:pPr>
      <w:spacing w:after="120"/>
      <w:ind w:left="420" w:leftChars="200"/>
    </w:pPr>
    <w:rPr>
      <w:rFonts w:ascii="Times New Roman" w:hAnsi="Times New Roman" w:eastAsia="宋体"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next w:val="1"/>
    <w:autoRedefine/>
    <w:qFormat/>
    <w:uiPriority w:val="99"/>
    <w:pPr>
      <w:ind w:firstLine="420" w:firstLineChars="200"/>
    </w:pPr>
    <w:rPr>
      <w:sz w:val="24"/>
    </w:rPr>
  </w:style>
  <w:style w:type="character" w:styleId="10">
    <w:name w:val="Strong"/>
    <w:basedOn w:val="9"/>
    <w:autoRedefine/>
    <w:qFormat/>
    <w:uiPriority w:val="22"/>
    <w:rPr>
      <w:rFonts w:ascii="Times New Roman" w:hAnsi="Times New Roman" w:eastAsia="宋体" w:cs="Times New Roman"/>
      <w:b/>
      <w:bCs/>
    </w:rPr>
  </w:style>
  <w:style w:type="paragraph" w:styleId="11">
    <w:name w:val="List Paragraph"/>
    <w:basedOn w:val="1"/>
    <w:autoRedefine/>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19E6C-A61F-4847-B4E3-36BBC502776E}">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7165</Words>
  <Characters>7891</Characters>
  <Lines>63</Lines>
  <Paragraphs>17</Paragraphs>
  <TotalTime>6</TotalTime>
  <ScaleCrop>false</ScaleCrop>
  <LinksUpToDate>false</LinksUpToDate>
  <CharactersWithSpaces>8186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2025-01-15T09:03:00Z</dcterms:created>
  <dc:creator>姣 儿</dc:creator>
  <cp:lastModifiedBy>聂红军</cp:lastModifiedBy>
  <dcterms:modified xsi:type="dcterms:W3CDTF">2025-06-06T02:38:39Z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B309A56DC2034E14B65DBD25C66054C1_13</vt:lpwstr>
  </property>
  <property fmtid="{D5CDD505-2E9C-101B-9397-08002B2CF9AE}" pid="4" name="KSOTemplateDocerSaveRecord">
    <vt:lpwstr>eyJoZGlkIjoiZTUyMWM5NTU3NmQwMzYzZGY2NjUyMjZkNDUzMDVhNDkiLCJ1c2VySWQiOiI0OTM4MTE0ODQifQ==</vt:lpwstr>
  </property>
</Properties>
</file>