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CD57FF">
      <w:pPr>
        <w:jc w:val="center"/>
        <w:rPr>
          <w:rFonts w:hint="eastAsia" w:ascii="仿宋" w:hAnsi="仿宋" w:eastAsia="仿宋" w:cs="仿宋"/>
          <w:color w:val="FF0000"/>
          <w:spacing w:val="-57"/>
          <w:sz w:val="72"/>
          <w:szCs w:val="72"/>
        </w:rPr>
      </w:pPr>
      <w:r>
        <w:rPr>
          <w:rFonts w:hint="eastAsia" w:ascii="仿宋" w:hAnsi="仿宋" w:eastAsia="仿宋" w:cs="仿宋"/>
          <w:b/>
          <w:bCs/>
          <w:color w:val="FF0000"/>
          <w:spacing w:val="-57"/>
          <w:sz w:val="72"/>
          <w:szCs w:val="72"/>
        </w:rPr>
        <w:t>北京建术信息科技研究院有限公司</w:t>
      </w:r>
    </w:p>
    <w:p w14:paraId="5FE3E818">
      <w:pPr>
        <w:jc w:val="center"/>
        <w:rPr>
          <w:rFonts w:hint="eastAsia" w:ascii="仿宋" w:hAnsi="仿宋" w:eastAsia="仿宋" w:cs="仿宋"/>
          <w:b/>
          <w:sz w:val="28"/>
          <w:szCs w:val="28"/>
        </w:rPr>
      </w:pPr>
      <w:r>
        <w:rPr>
          <w:rFonts w:hint="eastAsia" w:ascii="仿宋" w:hAnsi="仿宋" w:eastAsia="仿宋" w:cs="仿宋"/>
          <w:sz w:val="24"/>
          <w:szCs w:val="24"/>
        </w:rPr>
        <w:t>建术信息202</w:t>
      </w:r>
      <w:r>
        <w:rPr>
          <w:rFonts w:hint="eastAsia" w:ascii="仿宋" w:hAnsi="仿宋" w:eastAsia="仿宋" w:cs="仿宋"/>
          <w:sz w:val="24"/>
          <w:szCs w:val="24"/>
          <w:lang w:val="en-US" w:eastAsia="zh-CN"/>
        </w:rPr>
        <w:t>5</w:t>
      </w:r>
      <w:r>
        <w:rPr>
          <w:rFonts w:hint="eastAsia" w:ascii="仿宋" w:hAnsi="仿宋" w:eastAsia="仿宋" w:cs="仿宋"/>
          <w:sz w:val="24"/>
          <w:szCs w:val="24"/>
        </w:rPr>
        <w:t>【</w:t>
      </w:r>
      <w:r>
        <w:rPr>
          <w:rFonts w:hint="eastAsia" w:ascii="仿宋" w:hAnsi="仿宋" w:eastAsia="仿宋" w:cs="仿宋"/>
          <w:sz w:val="24"/>
          <w:szCs w:val="24"/>
          <w:lang w:val="en-US" w:eastAsia="zh-CN"/>
        </w:rPr>
        <w:t>58</w:t>
      </w:r>
      <w:r>
        <w:rPr>
          <w:rFonts w:hint="eastAsia" w:ascii="仿宋" w:hAnsi="仿宋" w:eastAsia="仿宋" w:cs="仿宋"/>
          <w:sz w:val="24"/>
          <w:szCs w:val="24"/>
        </w:rPr>
        <w:t>】号</w:t>
      </w:r>
    </w:p>
    <w:p w14:paraId="68A78205">
      <w:pPr>
        <w:jc w:val="center"/>
        <w:rPr>
          <w:rFonts w:hint="eastAsia" w:ascii="仿宋" w:hAnsi="仿宋" w:eastAsia="仿宋" w:cs="仿宋"/>
          <w:b/>
          <w:color w:val="C00000"/>
        </w:rPr>
      </w:pPr>
      <w:r>
        <w:rPr>
          <w:rFonts w:hint="eastAsia" w:ascii="仿宋" w:hAnsi="仿宋" w:eastAsia="仿宋" w:cs="仿宋"/>
          <w:sz w:val="24"/>
          <w:szCs w:val="24"/>
        </w:rPr>
        <mc:AlternateContent>
          <mc:Choice Requires="wps">
            <w:drawing>
              <wp:anchor distT="0" distB="0" distL="114300" distR="114300" simplePos="0" relativeHeight="251659264" behindDoc="0" locked="0" layoutInCell="1" allowOverlap="1">
                <wp:simplePos x="0" y="0"/>
                <wp:positionH relativeFrom="column">
                  <wp:posOffset>-182245</wp:posOffset>
                </wp:positionH>
                <wp:positionV relativeFrom="paragraph">
                  <wp:posOffset>45720</wp:posOffset>
                </wp:positionV>
                <wp:extent cx="6061710" cy="0"/>
                <wp:effectExtent l="0" t="9525" r="8890" b="15875"/>
                <wp:wrapNone/>
                <wp:docPr id="1" name="直接连接符 1"/>
                <wp:cNvGraphicFramePr/>
                <a:graphic xmlns:a="http://schemas.openxmlformats.org/drawingml/2006/main">
                  <a:graphicData uri="http://schemas.microsoft.com/office/word/2010/wordprocessingShape">
                    <wps:wsp>
                      <wps:cNvCnPr/>
                      <wps:spPr>
                        <a:xfrm>
                          <a:off x="1121410" y="1794510"/>
                          <a:ext cx="6061710" cy="0"/>
                        </a:xfrm>
                        <a:prstGeom prst="line">
                          <a:avLst/>
                        </a:prstGeom>
                        <a:ln w="19050">
                          <a:solidFill>
                            <a:srgbClr val="FF0000"/>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4.35pt;margin-top:3.6pt;height:0pt;width:477.3pt;z-index:251659264;mso-width-relative:page;mso-height-relative:page;" filled="f" stroked="t" coordsize="21600,21600" o:gfxdata="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yKF7LtMAAAAHAQAADwAAAAAAAAABACAAAAAiAAAAZHJzL2Rvd25yZXYueG1sUEsBAhQAFAAAAAgA&#10;h07iQIas+7/xAQAAvgMAAA4AAAAAAAAAAQAgAAAAIgEAAGRycy9lMm9Eb2MueG1sUEsFBgAAAAAG&#10;AAYAWQEAAIUFAAAAAA==&#10;">
                <v:fill on="f" focussize="0,0"/>
                <v:stroke weight="1.5pt" color="#FF0000 [3204]" miterlimit="8" joinstyle="miter"/>
                <v:imagedata o:title=""/>
                <o:lock v:ext="edit" aspectratio="f"/>
              </v:line>
            </w:pict>
          </mc:Fallback>
        </mc:AlternateContent>
      </w:r>
    </w:p>
    <w:p w14:paraId="2BA053CD">
      <w:pPr>
        <w:jc w:val="center"/>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关于举办</w:t>
      </w:r>
      <w:r>
        <w:rPr>
          <w:rFonts w:hint="eastAsia" w:ascii="仿宋" w:hAnsi="仿宋" w:eastAsia="仿宋" w:cs="仿宋"/>
          <w:b/>
          <w:bCs/>
          <w:color w:val="auto"/>
          <w:sz w:val="28"/>
          <w:szCs w:val="28"/>
        </w:rPr>
        <w:t>EPC工程总承包全流程核心环节疑难问题解析与风险防控实务专题培训</w:t>
      </w:r>
      <w:r>
        <w:rPr>
          <w:rFonts w:hint="eastAsia" w:ascii="仿宋" w:hAnsi="仿宋" w:eastAsia="仿宋" w:cs="仿宋"/>
          <w:b/>
          <w:bCs/>
          <w:color w:val="auto"/>
          <w:sz w:val="28"/>
          <w:szCs w:val="28"/>
          <w:lang w:val="en-US" w:eastAsia="zh-CN"/>
        </w:rPr>
        <w:t>班的通知</w:t>
      </w:r>
    </w:p>
    <w:p w14:paraId="00B4518F">
      <w:pPr>
        <w:rPr>
          <w:rFonts w:hint="eastAsia" w:ascii="仿宋" w:hAnsi="仿宋" w:eastAsia="仿宋" w:cs="仿宋"/>
        </w:rPr>
      </w:pPr>
    </w:p>
    <w:p w14:paraId="012E4F38">
      <w:pPr>
        <w:keepNext w:val="0"/>
        <w:keepLines w:val="0"/>
        <w:pageBreakBefore w:val="0"/>
        <w:kinsoku/>
        <w:wordWrap/>
        <w:overflowPunct/>
        <w:topLinePunct w:val="0"/>
        <w:bidi w:val="0"/>
        <w:snapToGrid/>
        <w:spacing w:line="360" w:lineRule="exact"/>
        <w:textAlignment w:val="auto"/>
        <w:rPr>
          <w:rFonts w:hint="eastAsia" w:ascii="仿宋" w:hAnsi="仿宋" w:eastAsia="仿宋" w:cs="仿宋"/>
          <w:b/>
          <w:bCs/>
          <w:sz w:val="24"/>
          <w:szCs w:val="24"/>
        </w:rPr>
      </w:pPr>
      <w:r>
        <w:rPr>
          <w:rFonts w:hint="eastAsia" w:ascii="仿宋" w:hAnsi="仿宋" w:eastAsia="仿宋" w:cs="仿宋"/>
          <w:b/>
          <w:bCs/>
          <w:sz w:val="24"/>
          <w:szCs w:val="24"/>
        </w:rPr>
        <w:t>各有关单位：</w:t>
      </w:r>
    </w:p>
    <w:p w14:paraId="51180CA4">
      <w:pPr>
        <w:keepNext w:val="0"/>
        <w:keepLines w:val="0"/>
        <w:pageBreakBefore w:val="0"/>
        <w:kinsoku/>
        <w:wordWrap/>
        <w:overflowPunct/>
        <w:topLinePunct w:val="0"/>
        <w:bidi w:val="0"/>
        <w:snapToGrid/>
        <w:spacing w:line="3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EPC</w:t>
      </w:r>
      <w:r>
        <w:rPr>
          <w:rFonts w:hint="eastAsia" w:ascii="仿宋" w:hAnsi="仿宋" w:eastAsia="仿宋" w:cs="仿宋"/>
          <w:sz w:val="24"/>
          <w:szCs w:val="24"/>
          <w:lang w:val="en-US" w:eastAsia="zh-CN"/>
        </w:rPr>
        <w:t>工程</w:t>
      </w:r>
      <w:r>
        <w:rPr>
          <w:rFonts w:hint="eastAsia" w:ascii="仿宋" w:hAnsi="仿宋" w:eastAsia="仿宋" w:cs="仿宋"/>
          <w:sz w:val="24"/>
          <w:szCs w:val="24"/>
        </w:rPr>
        <w:t>总承包模式全流程管理复杂难以驾驭、核心环节疑难问题频发</w:t>
      </w:r>
      <w:r>
        <w:rPr>
          <w:rFonts w:hint="eastAsia" w:ascii="仿宋" w:hAnsi="仿宋" w:eastAsia="仿宋" w:cs="仿宋"/>
          <w:sz w:val="24"/>
          <w:szCs w:val="24"/>
          <w:lang w:eastAsia="zh-CN"/>
        </w:rPr>
        <w:t>，</w:t>
      </w:r>
      <w:r>
        <w:rPr>
          <w:rFonts w:hint="eastAsia" w:ascii="仿宋" w:hAnsi="仿宋" w:eastAsia="仿宋" w:cs="仿宋"/>
          <w:sz w:val="24"/>
          <w:szCs w:val="24"/>
        </w:rPr>
        <w:t>如合同纠纷、成本失控、超概风险、结算索赔争议、财政评审与审计挑战</w:t>
      </w:r>
      <w:r>
        <w:rPr>
          <w:rFonts w:hint="eastAsia" w:ascii="仿宋" w:hAnsi="仿宋" w:eastAsia="仿宋" w:cs="仿宋"/>
          <w:sz w:val="24"/>
          <w:szCs w:val="24"/>
          <w:lang w:eastAsia="zh-CN"/>
        </w:rPr>
        <w:t>，</w:t>
      </w:r>
      <w:r>
        <w:rPr>
          <w:rFonts w:hint="eastAsia" w:ascii="仿宋" w:hAnsi="仿宋" w:eastAsia="仿宋" w:cs="仿宋"/>
          <w:sz w:val="24"/>
          <w:szCs w:val="24"/>
        </w:rPr>
        <w:t>导致项目延误或失败风险剧增</w:t>
      </w:r>
      <w:r>
        <w:rPr>
          <w:rFonts w:hint="eastAsia" w:ascii="仿宋" w:hAnsi="仿宋" w:eastAsia="仿宋" w:cs="仿宋"/>
          <w:sz w:val="24"/>
          <w:szCs w:val="24"/>
          <w:lang w:eastAsia="zh-CN"/>
        </w:rPr>
        <w:t>。</w:t>
      </w:r>
      <w:r>
        <w:rPr>
          <w:rFonts w:hint="eastAsia" w:ascii="仿宋" w:hAnsi="仿宋" w:eastAsia="仿宋" w:cs="仿宋"/>
          <w:sz w:val="24"/>
          <w:szCs w:val="24"/>
        </w:rPr>
        <w:t>在EPC项目管理的复杂迷局中，</w:t>
      </w:r>
      <w:r>
        <w:rPr>
          <w:rFonts w:hint="eastAsia" w:ascii="仿宋" w:hAnsi="仿宋" w:eastAsia="仿宋" w:cs="仿宋"/>
          <w:sz w:val="24"/>
          <w:szCs w:val="24"/>
          <w:lang w:val="en-US" w:eastAsia="zh-CN"/>
        </w:rPr>
        <w:t>如何</w:t>
      </w:r>
      <w:r>
        <w:rPr>
          <w:rFonts w:hint="eastAsia" w:ascii="仿宋" w:hAnsi="仿宋" w:eastAsia="仿宋" w:cs="仿宋"/>
          <w:sz w:val="24"/>
          <w:szCs w:val="24"/>
        </w:rPr>
        <w:t>精准识别风险点</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如何</w:t>
      </w:r>
      <w:r>
        <w:rPr>
          <w:rFonts w:hint="eastAsia" w:ascii="仿宋" w:hAnsi="仿宋" w:eastAsia="仿宋" w:cs="仿宋"/>
          <w:sz w:val="24"/>
          <w:szCs w:val="24"/>
        </w:rPr>
        <w:t>掌握主动防控力、显著提升合规管理水平</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如何</w:t>
      </w:r>
      <w:r>
        <w:rPr>
          <w:rFonts w:hint="eastAsia" w:ascii="仿宋" w:hAnsi="仿宋" w:eastAsia="仿宋" w:cs="仿宋"/>
          <w:sz w:val="24"/>
          <w:szCs w:val="24"/>
        </w:rPr>
        <w:t>实现从理论到实战能力的跨越式提升</w:t>
      </w:r>
      <w:r>
        <w:rPr>
          <w:rFonts w:hint="eastAsia" w:ascii="仿宋" w:hAnsi="仿宋" w:eastAsia="仿宋" w:cs="仿宋"/>
          <w:sz w:val="24"/>
          <w:szCs w:val="24"/>
          <w:lang w:eastAsia="zh-CN"/>
        </w:rPr>
        <w:t>？</w:t>
      </w:r>
      <w:r>
        <w:rPr>
          <w:rFonts w:hint="eastAsia" w:ascii="仿宋" w:hAnsi="仿宋" w:eastAsia="仿宋" w:cs="仿宋"/>
          <w:sz w:val="24"/>
          <w:szCs w:val="24"/>
        </w:rPr>
        <w:t>迫切</w:t>
      </w:r>
      <w:r>
        <w:rPr>
          <w:rFonts w:hint="eastAsia" w:ascii="仿宋" w:hAnsi="仿宋" w:eastAsia="仿宋" w:cs="仿宋"/>
          <w:sz w:val="24"/>
          <w:szCs w:val="24"/>
          <w:lang w:val="en-US" w:eastAsia="zh-CN"/>
        </w:rPr>
        <w:t>需要</w:t>
      </w:r>
      <w:r>
        <w:rPr>
          <w:rFonts w:hint="eastAsia" w:ascii="仿宋" w:hAnsi="仿宋" w:eastAsia="仿宋" w:cs="仿宋"/>
          <w:sz w:val="24"/>
          <w:szCs w:val="24"/>
        </w:rPr>
        <w:t>突破痛点的指南。</w:t>
      </w:r>
    </w:p>
    <w:p w14:paraId="7F60BCC6">
      <w:pPr>
        <w:keepNext w:val="0"/>
        <w:keepLines w:val="0"/>
        <w:pageBreakBefore w:val="0"/>
        <w:kinsoku/>
        <w:wordWrap/>
        <w:overflowPunct/>
        <w:topLinePunct w:val="0"/>
        <w:bidi w:val="0"/>
        <w:snapToGrid/>
        <w:spacing w:line="3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为实现各方合作共赢的梦想，我</w:t>
      </w:r>
      <w:r>
        <w:rPr>
          <w:rFonts w:hint="eastAsia" w:ascii="仿宋" w:hAnsi="仿宋" w:eastAsia="仿宋" w:cs="仿宋"/>
          <w:sz w:val="24"/>
          <w:szCs w:val="24"/>
          <w:lang w:val="en-US" w:eastAsia="zh-CN"/>
        </w:rPr>
        <w:t>司</w:t>
      </w:r>
      <w:r>
        <w:rPr>
          <w:rFonts w:hint="eastAsia" w:ascii="仿宋" w:hAnsi="仿宋" w:eastAsia="仿宋" w:cs="仿宋"/>
          <w:sz w:val="24"/>
          <w:szCs w:val="24"/>
        </w:rPr>
        <w:t>决定举办</w:t>
      </w:r>
      <w:r>
        <w:rPr>
          <w:rFonts w:hint="eastAsia" w:ascii="仿宋" w:hAnsi="仿宋" w:eastAsia="仿宋" w:cs="仿宋"/>
          <w:b/>
          <w:bCs/>
          <w:sz w:val="24"/>
          <w:szCs w:val="24"/>
        </w:rPr>
        <w:t>“EPC工程总承包全流程核心环节疑难问题解析与风险防控实务专题培训班”</w:t>
      </w:r>
      <w:r>
        <w:rPr>
          <w:rFonts w:hint="eastAsia" w:ascii="仿宋" w:hAnsi="仿宋" w:eastAsia="仿宋" w:cs="仿宋"/>
          <w:sz w:val="24"/>
          <w:szCs w:val="24"/>
        </w:rPr>
        <w:t>。系统性覆盖招投标、概算限额、签约履约、预算执行、结算索赔、财政评审、审计争议等核心阶段全流程，聚焦真实高频疑难问题清单</w:t>
      </w:r>
      <w:r>
        <w:rPr>
          <w:rFonts w:hint="eastAsia" w:ascii="仿宋" w:hAnsi="仿宋" w:eastAsia="仿宋" w:cs="仿宋"/>
          <w:sz w:val="24"/>
          <w:szCs w:val="24"/>
          <w:lang w:eastAsia="zh-CN"/>
        </w:rPr>
        <w:t>，</w:t>
      </w:r>
      <w:r>
        <w:rPr>
          <w:rFonts w:hint="eastAsia" w:ascii="仿宋" w:hAnsi="仿宋" w:eastAsia="仿宋" w:cs="仿宋"/>
          <w:sz w:val="24"/>
          <w:szCs w:val="24"/>
        </w:rPr>
        <w:t>提炼出风险防控的“硬核”解决方案与落地策略</w:t>
      </w:r>
      <w:r>
        <w:rPr>
          <w:rFonts w:hint="eastAsia" w:ascii="仿宋" w:hAnsi="仿宋" w:eastAsia="仿宋" w:cs="仿宋"/>
          <w:sz w:val="24"/>
          <w:szCs w:val="24"/>
          <w:lang w:eastAsia="zh-CN"/>
        </w:rPr>
        <w:t>。</w:t>
      </w:r>
      <w:r>
        <w:rPr>
          <w:rFonts w:hint="eastAsia" w:ascii="仿宋" w:hAnsi="仿宋" w:eastAsia="仿宋" w:cs="仿宋"/>
          <w:sz w:val="24"/>
          <w:szCs w:val="24"/>
        </w:rPr>
        <w:t>通过深入解析关键环节的实操疑难问题（如设计-采购-施工一体化难点）并提供高效的风险防控策略（如法律合规、成本控制及应急预案），助</w:t>
      </w:r>
      <w:r>
        <w:rPr>
          <w:rFonts w:hint="eastAsia" w:ascii="仿宋" w:hAnsi="仿宋" w:eastAsia="仿宋" w:cs="仿宋"/>
          <w:sz w:val="24"/>
          <w:szCs w:val="24"/>
          <w:lang w:val="en-US" w:eastAsia="zh-CN"/>
        </w:rPr>
        <w:t>力</w:t>
      </w:r>
      <w:r>
        <w:rPr>
          <w:rFonts w:hint="eastAsia" w:ascii="仿宋" w:hAnsi="仿宋" w:eastAsia="仿宋" w:cs="仿宋"/>
          <w:sz w:val="24"/>
          <w:szCs w:val="24"/>
        </w:rPr>
        <w:t>管理者精准应对挑战、强化实战能力，从而降低风险损失，确保项目管理卓越。现将有关事项通知如下：</w:t>
      </w:r>
    </w:p>
    <w:p w14:paraId="1BE9A5A0">
      <w:pPr>
        <w:pStyle w:val="8"/>
        <w:keepNext w:val="0"/>
        <w:keepLines w:val="0"/>
        <w:pageBreakBefore w:val="0"/>
        <w:widowControl/>
        <w:numPr>
          <w:ilvl w:val="0"/>
          <w:numId w:val="1"/>
        </w:numPr>
        <w:kinsoku/>
        <w:wordWrap/>
        <w:overflowPunct/>
        <w:topLinePunct w:val="0"/>
        <w:autoSpaceDE w:val="0"/>
        <w:autoSpaceDN w:val="0"/>
        <w:bidi w:val="0"/>
        <w:adjustRightInd w:val="0"/>
        <w:snapToGrid/>
        <w:spacing w:line="360" w:lineRule="exact"/>
        <w:ind w:firstLineChars="0"/>
        <w:jc w:val="left"/>
        <w:textAlignment w:val="auto"/>
        <w:rPr>
          <w:rFonts w:hint="eastAsia" w:ascii="仿宋" w:hAnsi="仿宋" w:eastAsia="仿宋" w:cs="仿宋"/>
          <w:b/>
          <w:bCs/>
          <w:sz w:val="24"/>
          <w:szCs w:val="24"/>
        </w:rPr>
      </w:pPr>
      <w:r>
        <w:rPr>
          <w:rFonts w:hint="eastAsia" w:ascii="仿宋" w:hAnsi="仿宋" w:eastAsia="仿宋" w:cs="仿宋"/>
          <w:b/>
          <w:bCs/>
          <w:sz w:val="24"/>
          <w:szCs w:val="24"/>
        </w:rPr>
        <w:t>培训内容</w:t>
      </w:r>
    </w:p>
    <w:p w14:paraId="679CF6B2">
      <w:pPr>
        <w:pStyle w:val="8"/>
        <w:keepNext w:val="0"/>
        <w:keepLines w:val="0"/>
        <w:pageBreakBefore w:val="0"/>
        <w:widowControl/>
        <w:kinsoku/>
        <w:wordWrap/>
        <w:overflowPunct/>
        <w:topLinePunct w:val="0"/>
        <w:autoSpaceDE w:val="0"/>
        <w:autoSpaceDN w:val="0"/>
        <w:bidi w:val="0"/>
        <w:adjustRightInd w:val="0"/>
        <w:snapToGrid/>
        <w:spacing w:line="360" w:lineRule="exact"/>
        <w:ind w:firstLine="0" w:firstLineChars="0"/>
        <w:jc w:val="left"/>
        <w:textAlignment w:val="auto"/>
        <w:rPr>
          <w:rFonts w:hint="eastAsia" w:ascii="仿宋" w:hAnsi="仿宋" w:eastAsia="仿宋" w:cs="仿宋"/>
          <w:b/>
          <w:bCs/>
          <w:sz w:val="24"/>
          <w:szCs w:val="24"/>
        </w:rPr>
      </w:pPr>
      <w:r>
        <w:rPr>
          <w:rFonts w:hint="eastAsia" w:ascii="仿宋" w:hAnsi="仿宋" w:eastAsia="仿宋" w:cs="仿宋"/>
          <w:b/>
          <w:bCs/>
          <w:sz w:val="24"/>
          <w:szCs w:val="24"/>
        </w:rPr>
        <w:t>（一）EPC项目招投标阶段疑难问题</w:t>
      </w:r>
    </w:p>
    <w:p w14:paraId="79BF4E2C">
      <w:pPr>
        <w:pStyle w:val="8"/>
        <w:keepNext w:val="0"/>
        <w:keepLines w:val="0"/>
        <w:pageBreakBefore w:val="0"/>
        <w:numPr>
          <w:ilvl w:val="0"/>
          <w:numId w:val="2"/>
        </w:numPr>
        <w:kinsoku/>
        <w:wordWrap/>
        <w:overflowPunct/>
        <w:topLinePunct w:val="0"/>
        <w:bidi w:val="0"/>
        <w:snapToGrid/>
        <w:spacing w:line="360" w:lineRule="exact"/>
        <w:ind w:firstLineChars="0"/>
        <w:textAlignment w:val="auto"/>
        <w:rPr>
          <w:rFonts w:hint="eastAsia" w:ascii="仿宋" w:hAnsi="仿宋" w:eastAsia="仿宋" w:cs="仿宋"/>
          <w:sz w:val="24"/>
          <w:szCs w:val="24"/>
        </w:rPr>
      </w:pPr>
      <w:r>
        <w:rPr>
          <w:rFonts w:hint="eastAsia" w:ascii="仿宋" w:hAnsi="仿宋" w:eastAsia="仿宋" w:cs="仿宋"/>
          <w:sz w:val="24"/>
          <w:szCs w:val="24"/>
        </w:rPr>
        <w:t>EPC项目招标文件上说按正式批复面积为准，但正式批复面积比初设图纸建筑面积算法偏少。面积差是否可以计算给乙方，如何处理？</w:t>
      </w:r>
    </w:p>
    <w:p w14:paraId="65A02205">
      <w:pPr>
        <w:pStyle w:val="8"/>
        <w:keepNext w:val="0"/>
        <w:keepLines w:val="0"/>
        <w:pageBreakBefore w:val="0"/>
        <w:numPr>
          <w:ilvl w:val="0"/>
          <w:numId w:val="2"/>
        </w:numPr>
        <w:kinsoku/>
        <w:wordWrap/>
        <w:overflowPunct/>
        <w:topLinePunct w:val="0"/>
        <w:bidi w:val="0"/>
        <w:snapToGrid/>
        <w:spacing w:line="360" w:lineRule="exact"/>
        <w:ind w:firstLineChars="0"/>
        <w:textAlignment w:val="auto"/>
        <w:rPr>
          <w:rFonts w:hint="eastAsia" w:ascii="仿宋" w:hAnsi="仿宋" w:eastAsia="仿宋" w:cs="仿宋"/>
          <w:sz w:val="24"/>
          <w:szCs w:val="24"/>
        </w:rPr>
      </w:pPr>
      <w:r>
        <w:rPr>
          <w:rFonts w:hint="eastAsia" w:ascii="仿宋" w:hAnsi="仿宋" w:eastAsia="仿宋" w:cs="仿宋"/>
          <w:sz w:val="24"/>
          <w:szCs w:val="24"/>
        </w:rPr>
        <w:t>EPC项目采用固定总价合同，根据初设图编制概算并签订合同。审核单位按初设图计量，使用省房建、市政、安装等定额，是否合理？</w:t>
      </w:r>
    </w:p>
    <w:p w14:paraId="4AB3601F">
      <w:pPr>
        <w:pStyle w:val="8"/>
        <w:keepNext w:val="0"/>
        <w:keepLines w:val="0"/>
        <w:pageBreakBefore w:val="0"/>
        <w:numPr>
          <w:ilvl w:val="0"/>
          <w:numId w:val="2"/>
        </w:numPr>
        <w:kinsoku/>
        <w:wordWrap/>
        <w:overflowPunct/>
        <w:topLinePunct w:val="0"/>
        <w:bidi w:val="0"/>
        <w:snapToGrid/>
        <w:spacing w:line="360" w:lineRule="exact"/>
        <w:ind w:firstLineChars="0"/>
        <w:textAlignment w:val="auto"/>
        <w:rPr>
          <w:rFonts w:hint="eastAsia" w:ascii="仿宋" w:hAnsi="仿宋" w:eastAsia="仿宋" w:cs="仿宋"/>
          <w:sz w:val="24"/>
          <w:szCs w:val="24"/>
        </w:rPr>
      </w:pPr>
      <w:r>
        <w:rPr>
          <w:rFonts w:hint="eastAsia" w:ascii="仿宋" w:hAnsi="仿宋" w:eastAsia="仿宋" w:cs="仿宋"/>
          <w:sz w:val="24"/>
          <w:szCs w:val="24"/>
        </w:rPr>
        <w:t>EPC总包单位在做初设时，根据规划局要求优化污水管网，增加费用过大，是签证变更还是重新招标？</w:t>
      </w:r>
    </w:p>
    <w:p w14:paraId="7C5978FA">
      <w:pPr>
        <w:pStyle w:val="8"/>
        <w:keepNext w:val="0"/>
        <w:keepLines w:val="0"/>
        <w:pageBreakBefore w:val="0"/>
        <w:numPr>
          <w:ilvl w:val="0"/>
          <w:numId w:val="2"/>
        </w:numPr>
        <w:kinsoku/>
        <w:wordWrap/>
        <w:overflowPunct/>
        <w:topLinePunct w:val="0"/>
        <w:bidi w:val="0"/>
        <w:snapToGrid/>
        <w:spacing w:line="360" w:lineRule="exact"/>
        <w:ind w:firstLineChars="0"/>
        <w:textAlignment w:val="auto"/>
        <w:rPr>
          <w:rFonts w:hint="eastAsia" w:ascii="仿宋" w:hAnsi="仿宋" w:eastAsia="仿宋" w:cs="仿宋"/>
          <w:sz w:val="24"/>
          <w:szCs w:val="24"/>
        </w:rPr>
      </w:pPr>
      <w:r>
        <w:rPr>
          <w:rFonts w:hint="eastAsia" w:ascii="仿宋" w:hAnsi="仿宋" w:eastAsia="仿宋" w:cs="仿宋"/>
          <w:sz w:val="24"/>
          <w:szCs w:val="24"/>
        </w:rPr>
        <w:t>取费中的安全文明施工费根据不得竞争的原则是否不能下浮？</w:t>
      </w:r>
    </w:p>
    <w:p w14:paraId="64F0DE6A">
      <w:pPr>
        <w:pStyle w:val="8"/>
        <w:keepNext w:val="0"/>
        <w:keepLines w:val="0"/>
        <w:pageBreakBefore w:val="0"/>
        <w:numPr>
          <w:ilvl w:val="0"/>
          <w:numId w:val="2"/>
        </w:numPr>
        <w:kinsoku/>
        <w:wordWrap/>
        <w:overflowPunct/>
        <w:topLinePunct w:val="0"/>
        <w:bidi w:val="0"/>
        <w:snapToGrid/>
        <w:spacing w:line="360" w:lineRule="exact"/>
        <w:ind w:firstLineChars="0"/>
        <w:textAlignment w:val="auto"/>
        <w:rPr>
          <w:rFonts w:hint="eastAsia" w:ascii="仿宋" w:hAnsi="仿宋" w:eastAsia="仿宋" w:cs="仿宋"/>
          <w:sz w:val="24"/>
          <w:szCs w:val="24"/>
        </w:rPr>
      </w:pPr>
      <w:r>
        <w:rPr>
          <w:rFonts w:hint="eastAsia" w:ascii="仿宋" w:hAnsi="仿宋" w:eastAsia="仿宋" w:cs="仿宋"/>
          <w:sz w:val="24"/>
          <w:szCs w:val="24"/>
        </w:rPr>
        <w:t>EPC项目招标后造价过高，业主提出变更设计，降低造价，是否可行？</w:t>
      </w:r>
    </w:p>
    <w:p w14:paraId="55FF21EB">
      <w:pPr>
        <w:pStyle w:val="8"/>
        <w:keepNext w:val="0"/>
        <w:keepLines w:val="0"/>
        <w:pageBreakBefore w:val="0"/>
        <w:numPr>
          <w:ilvl w:val="0"/>
          <w:numId w:val="2"/>
        </w:numPr>
        <w:kinsoku/>
        <w:wordWrap/>
        <w:overflowPunct/>
        <w:topLinePunct w:val="0"/>
        <w:bidi w:val="0"/>
        <w:snapToGrid/>
        <w:spacing w:line="360" w:lineRule="exact"/>
        <w:ind w:firstLineChars="0"/>
        <w:textAlignment w:val="auto"/>
        <w:rPr>
          <w:rFonts w:hint="eastAsia" w:ascii="仿宋" w:hAnsi="仿宋" w:eastAsia="仿宋" w:cs="仿宋"/>
          <w:sz w:val="24"/>
          <w:szCs w:val="24"/>
        </w:rPr>
      </w:pPr>
      <w:r>
        <w:rPr>
          <w:rFonts w:hint="eastAsia" w:ascii="仿宋" w:hAnsi="仿宋" w:eastAsia="仿宋" w:cs="仿宋"/>
          <w:sz w:val="24"/>
          <w:szCs w:val="24"/>
        </w:rPr>
        <w:t>EPC项目，如果设计单位不具备工程勘察资质，可否由其进行分包？</w:t>
      </w:r>
    </w:p>
    <w:p w14:paraId="0B805F03">
      <w:pPr>
        <w:pStyle w:val="8"/>
        <w:keepNext w:val="0"/>
        <w:keepLines w:val="0"/>
        <w:pageBreakBefore w:val="0"/>
        <w:numPr>
          <w:ilvl w:val="0"/>
          <w:numId w:val="2"/>
        </w:numPr>
        <w:kinsoku/>
        <w:wordWrap/>
        <w:overflowPunct/>
        <w:topLinePunct w:val="0"/>
        <w:bidi w:val="0"/>
        <w:snapToGrid/>
        <w:spacing w:line="360" w:lineRule="exact"/>
        <w:ind w:firstLineChars="0"/>
        <w:textAlignment w:val="auto"/>
        <w:rPr>
          <w:rFonts w:hint="eastAsia" w:ascii="仿宋" w:hAnsi="仿宋" w:eastAsia="仿宋" w:cs="仿宋"/>
          <w:sz w:val="24"/>
          <w:szCs w:val="24"/>
        </w:rPr>
      </w:pPr>
      <w:r>
        <w:rPr>
          <w:rFonts w:hint="eastAsia" w:ascii="仿宋" w:hAnsi="仿宋" w:eastAsia="仿宋" w:cs="仿宋"/>
          <w:sz w:val="24"/>
          <w:szCs w:val="24"/>
        </w:rPr>
        <w:t>费率招标EPC项目，把外水、外电、智能化等分项经协商后由甲方另行发包，是否违规？</w:t>
      </w:r>
    </w:p>
    <w:p w14:paraId="4A50859F">
      <w:pPr>
        <w:pStyle w:val="8"/>
        <w:keepNext w:val="0"/>
        <w:keepLines w:val="0"/>
        <w:pageBreakBefore w:val="0"/>
        <w:numPr>
          <w:ilvl w:val="0"/>
          <w:numId w:val="2"/>
        </w:numPr>
        <w:kinsoku/>
        <w:wordWrap/>
        <w:overflowPunct/>
        <w:topLinePunct w:val="0"/>
        <w:bidi w:val="0"/>
        <w:snapToGrid/>
        <w:spacing w:line="360" w:lineRule="exact"/>
        <w:ind w:firstLineChars="0"/>
        <w:textAlignment w:val="auto"/>
        <w:rPr>
          <w:rFonts w:hint="eastAsia" w:ascii="仿宋" w:hAnsi="仿宋" w:eastAsia="仿宋" w:cs="仿宋"/>
          <w:sz w:val="24"/>
          <w:szCs w:val="24"/>
        </w:rPr>
      </w:pPr>
      <w:r>
        <w:rPr>
          <w:rFonts w:hint="eastAsia" w:ascii="仿宋" w:hAnsi="仿宋" w:eastAsia="仿宋" w:cs="仿宋"/>
          <w:sz w:val="24"/>
          <w:szCs w:val="24"/>
        </w:rPr>
        <w:t>工程总承包模式下，前期基础资料的风险控制？</w:t>
      </w:r>
    </w:p>
    <w:p w14:paraId="0F4132C8">
      <w:pPr>
        <w:pStyle w:val="8"/>
        <w:keepNext w:val="0"/>
        <w:keepLines w:val="0"/>
        <w:pageBreakBefore w:val="0"/>
        <w:numPr>
          <w:ilvl w:val="0"/>
          <w:numId w:val="2"/>
        </w:numPr>
        <w:kinsoku/>
        <w:wordWrap/>
        <w:overflowPunct/>
        <w:topLinePunct w:val="0"/>
        <w:bidi w:val="0"/>
        <w:snapToGrid/>
        <w:spacing w:line="360" w:lineRule="exact"/>
        <w:ind w:firstLineChars="0"/>
        <w:textAlignment w:val="auto"/>
        <w:rPr>
          <w:rFonts w:hint="eastAsia" w:ascii="仿宋" w:hAnsi="仿宋" w:eastAsia="仿宋" w:cs="仿宋"/>
          <w:sz w:val="24"/>
          <w:szCs w:val="24"/>
        </w:rPr>
      </w:pPr>
      <w:r>
        <w:rPr>
          <w:rFonts w:hint="eastAsia" w:ascii="仿宋" w:hAnsi="仿宋" w:eastAsia="仿宋" w:cs="仿宋"/>
          <w:sz w:val="24"/>
          <w:szCs w:val="24"/>
        </w:rPr>
        <w:t>施工图设计已完成，施工没开始，如何推行EPC？</w:t>
      </w:r>
    </w:p>
    <w:p w14:paraId="73BDCD02">
      <w:pPr>
        <w:pStyle w:val="8"/>
        <w:keepNext w:val="0"/>
        <w:keepLines w:val="0"/>
        <w:pageBreakBefore w:val="0"/>
        <w:numPr>
          <w:ilvl w:val="0"/>
          <w:numId w:val="2"/>
        </w:numPr>
        <w:kinsoku/>
        <w:wordWrap/>
        <w:overflowPunct/>
        <w:topLinePunct w:val="0"/>
        <w:bidi w:val="0"/>
        <w:snapToGrid/>
        <w:spacing w:line="360" w:lineRule="exact"/>
        <w:ind w:firstLineChars="0"/>
        <w:textAlignment w:val="auto"/>
        <w:rPr>
          <w:rFonts w:hint="eastAsia" w:ascii="仿宋" w:hAnsi="仿宋" w:eastAsia="仿宋" w:cs="仿宋"/>
          <w:sz w:val="24"/>
          <w:szCs w:val="24"/>
        </w:rPr>
      </w:pPr>
      <w:r>
        <w:rPr>
          <w:rFonts w:hint="eastAsia" w:ascii="仿宋" w:hAnsi="仿宋" w:eastAsia="仿宋" w:cs="仿宋"/>
          <w:sz w:val="24"/>
          <w:szCs w:val="24"/>
        </w:rPr>
        <w:t>前期策划完成，立项后深化设计来不及，监管方要求审图，如何推行EPC模拟清单招标？</w:t>
      </w:r>
    </w:p>
    <w:p w14:paraId="67985FED">
      <w:pPr>
        <w:pStyle w:val="8"/>
        <w:keepNext w:val="0"/>
        <w:keepLines w:val="0"/>
        <w:pageBreakBefore w:val="0"/>
        <w:numPr>
          <w:ilvl w:val="0"/>
          <w:numId w:val="2"/>
        </w:numPr>
        <w:kinsoku/>
        <w:wordWrap/>
        <w:overflowPunct/>
        <w:topLinePunct w:val="0"/>
        <w:bidi w:val="0"/>
        <w:snapToGrid/>
        <w:spacing w:line="360" w:lineRule="exact"/>
        <w:ind w:firstLineChars="0"/>
        <w:textAlignment w:val="auto"/>
        <w:rPr>
          <w:rFonts w:hint="eastAsia" w:ascii="仿宋" w:hAnsi="仿宋" w:eastAsia="仿宋" w:cs="仿宋"/>
          <w:sz w:val="24"/>
          <w:szCs w:val="24"/>
        </w:rPr>
      </w:pPr>
      <w:r>
        <w:rPr>
          <w:rFonts w:hint="eastAsia" w:ascii="仿宋" w:hAnsi="仿宋" w:eastAsia="仿宋" w:cs="仿宋"/>
          <w:sz w:val="24"/>
          <w:szCs w:val="24"/>
        </w:rPr>
        <w:t>EPC项目可研概算下浮率招标，总价包干，可研对工艺指标不可能完全精准，施工图审核后，甲方认为某些环节工艺指标需要提高，总价能否调整？</w:t>
      </w:r>
    </w:p>
    <w:p w14:paraId="76AE8875">
      <w:pPr>
        <w:pStyle w:val="8"/>
        <w:keepNext w:val="0"/>
        <w:keepLines w:val="0"/>
        <w:pageBreakBefore w:val="0"/>
        <w:numPr>
          <w:ilvl w:val="0"/>
          <w:numId w:val="2"/>
        </w:numPr>
        <w:kinsoku/>
        <w:wordWrap/>
        <w:overflowPunct/>
        <w:topLinePunct w:val="0"/>
        <w:bidi w:val="0"/>
        <w:snapToGrid/>
        <w:spacing w:line="360" w:lineRule="exact"/>
        <w:ind w:firstLineChars="0"/>
        <w:textAlignment w:val="auto"/>
        <w:rPr>
          <w:rFonts w:hint="eastAsia" w:ascii="仿宋" w:hAnsi="仿宋" w:eastAsia="仿宋" w:cs="仿宋"/>
          <w:sz w:val="24"/>
          <w:szCs w:val="24"/>
        </w:rPr>
      </w:pPr>
      <w:r>
        <w:rPr>
          <w:rFonts w:hint="eastAsia" w:ascii="仿宋" w:hAnsi="仿宋" w:eastAsia="仿宋" w:cs="仿宋"/>
          <w:sz w:val="24"/>
          <w:szCs w:val="24"/>
        </w:rPr>
        <w:t>EPC项目招标后，将费率合同转变为带工程量清单的总价包干合同，是否合理？</w:t>
      </w:r>
    </w:p>
    <w:p w14:paraId="0B16C3DF">
      <w:pPr>
        <w:pStyle w:val="8"/>
        <w:keepNext w:val="0"/>
        <w:keepLines w:val="0"/>
        <w:pageBreakBefore w:val="0"/>
        <w:numPr>
          <w:ilvl w:val="0"/>
          <w:numId w:val="2"/>
        </w:numPr>
        <w:kinsoku/>
        <w:wordWrap/>
        <w:overflowPunct/>
        <w:topLinePunct w:val="0"/>
        <w:bidi w:val="0"/>
        <w:snapToGrid/>
        <w:spacing w:line="360" w:lineRule="exact"/>
        <w:ind w:firstLineChars="0"/>
        <w:textAlignment w:val="auto"/>
        <w:rPr>
          <w:rFonts w:hint="eastAsia" w:ascii="仿宋" w:hAnsi="仿宋" w:eastAsia="仿宋" w:cs="仿宋"/>
          <w:sz w:val="24"/>
          <w:szCs w:val="24"/>
        </w:rPr>
      </w:pPr>
      <w:r>
        <w:rPr>
          <w:rFonts w:hint="eastAsia" w:ascii="仿宋" w:hAnsi="仿宋" w:eastAsia="仿宋" w:cs="仿宋"/>
          <w:sz w:val="24"/>
          <w:szCs w:val="24"/>
        </w:rPr>
        <w:t>EPC项目本省定额缺项，是否可以采用外省定额？</w:t>
      </w:r>
    </w:p>
    <w:p w14:paraId="114D3ED4">
      <w:pPr>
        <w:pStyle w:val="8"/>
        <w:keepNext w:val="0"/>
        <w:keepLines w:val="0"/>
        <w:pageBreakBefore w:val="0"/>
        <w:numPr>
          <w:ilvl w:val="0"/>
          <w:numId w:val="2"/>
        </w:numPr>
        <w:kinsoku/>
        <w:wordWrap/>
        <w:overflowPunct/>
        <w:topLinePunct w:val="0"/>
        <w:bidi w:val="0"/>
        <w:snapToGrid/>
        <w:spacing w:line="360" w:lineRule="exact"/>
        <w:ind w:firstLineChars="0"/>
        <w:textAlignment w:val="auto"/>
        <w:rPr>
          <w:rFonts w:hint="eastAsia" w:ascii="仿宋" w:hAnsi="仿宋" w:eastAsia="仿宋" w:cs="仿宋"/>
          <w:sz w:val="24"/>
          <w:szCs w:val="24"/>
        </w:rPr>
      </w:pPr>
      <w:r>
        <w:rPr>
          <w:rFonts w:hint="eastAsia" w:ascii="仿宋" w:hAnsi="仿宋" w:eastAsia="仿宋" w:cs="仿宋"/>
          <w:sz w:val="24"/>
          <w:szCs w:val="24"/>
        </w:rPr>
        <w:t>EPC项目招标文件要求按清单中标价结算，合同约定定额计价结算，如何处理？</w:t>
      </w:r>
    </w:p>
    <w:p w14:paraId="7585EBCD">
      <w:pPr>
        <w:pStyle w:val="8"/>
        <w:keepNext w:val="0"/>
        <w:keepLines w:val="0"/>
        <w:pageBreakBefore w:val="0"/>
        <w:widowControl/>
        <w:kinsoku/>
        <w:wordWrap/>
        <w:overflowPunct/>
        <w:topLinePunct w:val="0"/>
        <w:autoSpaceDE w:val="0"/>
        <w:autoSpaceDN w:val="0"/>
        <w:bidi w:val="0"/>
        <w:adjustRightInd w:val="0"/>
        <w:snapToGrid/>
        <w:spacing w:line="360" w:lineRule="exact"/>
        <w:ind w:firstLine="0" w:firstLineChars="0"/>
        <w:jc w:val="left"/>
        <w:textAlignment w:val="auto"/>
        <w:rPr>
          <w:rFonts w:hint="eastAsia" w:ascii="仿宋" w:hAnsi="仿宋" w:eastAsia="仿宋" w:cs="仿宋"/>
          <w:b/>
          <w:bCs/>
          <w:sz w:val="24"/>
          <w:szCs w:val="24"/>
        </w:rPr>
      </w:pPr>
      <w:r>
        <w:rPr>
          <w:rFonts w:hint="eastAsia" w:ascii="仿宋" w:hAnsi="仿宋" w:eastAsia="仿宋" w:cs="仿宋"/>
          <w:b/>
          <w:bCs/>
          <w:sz w:val="24"/>
          <w:szCs w:val="24"/>
        </w:rPr>
        <w:t>（二）EPC项目限额概算相关问题分析</w:t>
      </w:r>
    </w:p>
    <w:p w14:paraId="4338782D">
      <w:pPr>
        <w:pStyle w:val="8"/>
        <w:keepNext w:val="0"/>
        <w:keepLines w:val="0"/>
        <w:pageBreakBefore w:val="0"/>
        <w:numPr>
          <w:ilvl w:val="0"/>
          <w:numId w:val="3"/>
        </w:numPr>
        <w:kinsoku/>
        <w:wordWrap/>
        <w:overflowPunct/>
        <w:topLinePunct w:val="0"/>
        <w:bidi w:val="0"/>
        <w:snapToGrid/>
        <w:spacing w:line="360" w:lineRule="exact"/>
        <w:ind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EPC项目甲方初设后，再优化，然后做概算，再以优化前初设量发包，是否合理？</w:t>
      </w:r>
    </w:p>
    <w:p w14:paraId="7A4C2B96">
      <w:pPr>
        <w:pStyle w:val="8"/>
        <w:keepNext w:val="0"/>
        <w:keepLines w:val="0"/>
        <w:pageBreakBefore w:val="0"/>
        <w:numPr>
          <w:ilvl w:val="0"/>
          <w:numId w:val="3"/>
        </w:numPr>
        <w:kinsoku/>
        <w:wordWrap/>
        <w:overflowPunct/>
        <w:topLinePunct w:val="0"/>
        <w:bidi w:val="0"/>
        <w:snapToGrid/>
        <w:spacing w:line="360" w:lineRule="exact"/>
        <w:ind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乙方上报概算存在漏项和漏量问题，业主不允许补充。解决方法需与业主协商或寻求法律途径？</w:t>
      </w:r>
    </w:p>
    <w:p w14:paraId="43B64D39">
      <w:pPr>
        <w:pStyle w:val="8"/>
        <w:keepNext w:val="0"/>
        <w:keepLines w:val="0"/>
        <w:pageBreakBefore w:val="0"/>
        <w:numPr>
          <w:ilvl w:val="0"/>
          <w:numId w:val="3"/>
        </w:numPr>
        <w:kinsoku/>
        <w:wordWrap/>
        <w:overflowPunct/>
        <w:topLinePunct w:val="0"/>
        <w:bidi w:val="0"/>
        <w:snapToGrid/>
        <w:spacing w:line="360" w:lineRule="exact"/>
        <w:ind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EPC初步设计概算清单招标，要求施工图预算单价不能超概算清单中对应项，是否合理？</w:t>
      </w:r>
    </w:p>
    <w:p w14:paraId="1C8A8DD9">
      <w:pPr>
        <w:pStyle w:val="8"/>
        <w:keepNext w:val="0"/>
        <w:keepLines w:val="0"/>
        <w:pageBreakBefore w:val="0"/>
        <w:numPr>
          <w:ilvl w:val="0"/>
          <w:numId w:val="3"/>
        </w:numPr>
        <w:kinsoku/>
        <w:wordWrap/>
        <w:overflowPunct/>
        <w:topLinePunct w:val="0"/>
        <w:bidi w:val="0"/>
        <w:snapToGrid/>
        <w:spacing w:line="360" w:lineRule="exact"/>
        <w:ind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EPC概算编制时无深化图纸，概算定额与实际施工图有差异导致费用增加，如何处理？</w:t>
      </w:r>
    </w:p>
    <w:p w14:paraId="107AF82F">
      <w:pPr>
        <w:pStyle w:val="8"/>
        <w:keepNext w:val="0"/>
        <w:keepLines w:val="0"/>
        <w:pageBreakBefore w:val="0"/>
        <w:numPr>
          <w:ilvl w:val="0"/>
          <w:numId w:val="3"/>
        </w:numPr>
        <w:kinsoku/>
        <w:wordWrap/>
        <w:overflowPunct/>
        <w:topLinePunct w:val="0"/>
        <w:bidi w:val="0"/>
        <w:snapToGrid/>
        <w:spacing w:line="360" w:lineRule="exact"/>
        <w:ind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EPC概算中二类费用按项计费，施工图预算按定额计价，远超概算，如何处理？</w:t>
      </w:r>
    </w:p>
    <w:p w14:paraId="2999DE0D">
      <w:pPr>
        <w:pStyle w:val="8"/>
        <w:keepNext w:val="0"/>
        <w:keepLines w:val="0"/>
        <w:pageBreakBefore w:val="0"/>
        <w:numPr>
          <w:ilvl w:val="0"/>
          <w:numId w:val="3"/>
        </w:numPr>
        <w:kinsoku/>
        <w:wordWrap/>
        <w:overflowPunct/>
        <w:topLinePunct w:val="0"/>
        <w:bidi w:val="0"/>
        <w:snapToGrid/>
        <w:spacing w:line="360" w:lineRule="exact"/>
        <w:ind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EPC项目前期需确保分概、控概合理性，过程中管控落地，如何确保项目按计划进行？</w:t>
      </w:r>
    </w:p>
    <w:p w14:paraId="3DFAC293">
      <w:pPr>
        <w:pStyle w:val="8"/>
        <w:keepNext w:val="0"/>
        <w:keepLines w:val="0"/>
        <w:pageBreakBefore w:val="0"/>
        <w:numPr>
          <w:ilvl w:val="0"/>
          <w:numId w:val="3"/>
        </w:numPr>
        <w:kinsoku/>
        <w:wordWrap/>
        <w:overflowPunct/>
        <w:topLinePunct w:val="0"/>
        <w:bidi w:val="0"/>
        <w:snapToGrid/>
        <w:spacing w:line="360" w:lineRule="exact"/>
        <w:ind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强调设计与经济协调的EPC项目，如何在实施过程中发挥价值工程，选择满足盈利性和技术可行性的技术方案或变更？</w:t>
      </w:r>
    </w:p>
    <w:p w14:paraId="38386F0E">
      <w:pPr>
        <w:pStyle w:val="8"/>
        <w:keepNext w:val="0"/>
        <w:keepLines w:val="0"/>
        <w:pageBreakBefore w:val="0"/>
        <w:numPr>
          <w:ilvl w:val="0"/>
          <w:numId w:val="3"/>
        </w:numPr>
        <w:kinsoku/>
        <w:wordWrap/>
        <w:overflowPunct/>
        <w:topLinePunct w:val="0"/>
        <w:bidi w:val="0"/>
        <w:snapToGrid/>
        <w:spacing w:line="360" w:lineRule="exact"/>
        <w:ind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预算审核中，桩基实际结算和幕墙精装深化结算超出预算部分是否计入不可预见费用？</w:t>
      </w:r>
    </w:p>
    <w:p w14:paraId="7BCF0EFE">
      <w:pPr>
        <w:pStyle w:val="8"/>
        <w:keepNext w:val="0"/>
        <w:keepLines w:val="0"/>
        <w:pageBreakBefore w:val="0"/>
        <w:numPr>
          <w:ilvl w:val="0"/>
          <w:numId w:val="3"/>
        </w:numPr>
        <w:kinsoku/>
        <w:wordWrap/>
        <w:overflowPunct/>
        <w:topLinePunct w:val="0"/>
        <w:bidi w:val="0"/>
        <w:snapToGrid/>
        <w:spacing w:line="360" w:lineRule="exact"/>
        <w:ind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总价EPC，施工图和初步设计工程量的差异是否可调整？如何调整？</w:t>
      </w:r>
    </w:p>
    <w:p w14:paraId="591511DF">
      <w:pPr>
        <w:pStyle w:val="8"/>
        <w:keepNext w:val="0"/>
        <w:keepLines w:val="0"/>
        <w:pageBreakBefore w:val="0"/>
        <w:numPr>
          <w:ilvl w:val="0"/>
          <w:numId w:val="3"/>
        </w:numPr>
        <w:kinsoku/>
        <w:wordWrap/>
        <w:overflowPunct/>
        <w:topLinePunct w:val="0"/>
        <w:bidi w:val="0"/>
        <w:snapToGrid/>
        <w:spacing w:line="360" w:lineRule="exact"/>
        <w:ind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EPC项目以概算招标签订合同，概算偏低，按定额报施工图预算高于概算，能否调整概算，如何调整？</w:t>
      </w:r>
    </w:p>
    <w:p w14:paraId="1FC9EE57">
      <w:pPr>
        <w:pStyle w:val="8"/>
        <w:keepNext w:val="0"/>
        <w:keepLines w:val="0"/>
        <w:pageBreakBefore w:val="0"/>
        <w:numPr>
          <w:ilvl w:val="0"/>
          <w:numId w:val="3"/>
        </w:numPr>
        <w:kinsoku/>
        <w:wordWrap/>
        <w:overflowPunct/>
        <w:topLinePunct w:val="0"/>
        <w:bidi w:val="0"/>
        <w:snapToGrid/>
        <w:spacing w:line="360" w:lineRule="exact"/>
        <w:ind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总价招标无清单项目，初设套价错误导致概算不足时，能否与业主协商增加概算，确保项目顺利进行？</w:t>
      </w:r>
    </w:p>
    <w:p w14:paraId="18C1B90E">
      <w:pPr>
        <w:pStyle w:val="8"/>
        <w:keepNext w:val="0"/>
        <w:keepLines w:val="0"/>
        <w:pageBreakBefore w:val="0"/>
        <w:numPr>
          <w:ilvl w:val="0"/>
          <w:numId w:val="3"/>
        </w:numPr>
        <w:kinsoku/>
        <w:wordWrap/>
        <w:overflowPunct/>
        <w:topLinePunct w:val="0"/>
        <w:bidi w:val="0"/>
        <w:snapToGrid/>
        <w:spacing w:line="360" w:lineRule="exact"/>
        <w:ind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EPC项目两种情况：超概需压缩成本，通过降低交付标准及寻找其他降低成本的方法来增加利润；欠概则提高交付标准，但要注意平米指标偏离市场值带来的审减风险，需在施工过程中规避，如何应对？</w:t>
      </w:r>
    </w:p>
    <w:p w14:paraId="5D6009DB">
      <w:pPr>
        <w:pStyle w:val="8"/>
        <w:keepNext w:val="0"/>
        <w:keepLines w:val="0"/>
        <w:pageBreakBefore w:val="0"/>
        <w:widowControl/>
        <w:kinsoku/>
        <w:wordWrap/>
        <w:overflowPunct/>
        <w:topLinePunct w:val="0"/>
        <w:autoSpaceDE w:val="0"/>
        <w:autoSpaceDN w:val="0"/>
        <w:bidi w:val="0"/>
        <w:adjustRightInd w:val="0"/>
        <w:snapToGrid/>
        <w:spacing w:line="360" w:lineRule="exact"/>
        <w:ind w:firstLine="0" w:firstLineChars="0"/>
        <w:jc w:val="left"/>
        <w:textAlignment w:val="auto"/>
        <w:rPr>
          <w:rFonts w:hint="eastAsia" w:ascii="仿宋" w:hAnsi="仿宋" w:eastAsia="仿宋" w:cs="仿宋"/>
          <w:b/>
          <w:bCs/>
          <w:sz w:val="24"/>
          <w:szCs w:val="24"/>
        </w:rPr>
      </w:pPr>
      <w:r>
        <w:rPr>
          <w:rFonts w:hint="eastAsia" w:ascii="仿宋" w:hAnsi="仿宋" w:eastAsia="仿宋" w:cs="仿宋"/>
          <w:b/>
          <w:bCs/>
          <w:sz w:val="24"/>
          <w:szCs w:val="24"/>
        </w:rPr>
        <w:t>（三）EPC项目签约阶段疑难问题</w:t>
      </w:r>
    </w:p>
    <w:p w14:paraId="74DEED63">
      <w:pPr>
        <w:pStyle w:val="8"/>
        <w:keepNext w:val="0"/>
        <w:keepLines w:val="0"/>
        <w:pageBreakBefore w:val="0"/>
        <w:numPr>
          <w:ilvl w:val="0"/>
          <w:numId w:val="4"/>
        </w:numPr>
        <w:kinsoku/>
        <w:wordWrap/>
        <w:overflowPunct/>
        <w:topLinePunct w:val="0"/>
        <w:bidi w:val="0"/>
        <w:snapToGrid/>
        <w:spacing w:line="360" w:lineRule="exact"/>
        <w:ind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EPC总价包干，甲方初步设计后发包，乙方施工图减少包干量，顶格设计，是否合理？</w:t>
      </w:r>
    </w:p>
    <w:p w14:paraId="12596ACE">
      <w:pPr>
        <w:pStyle w:val="8"/>
        <w:keepNext w:val="0"/>
        <w:keepLines w:val="0"/>
        <w:pageBreakBefore w:val="0"/>
        <w:numPr>
          <w:ilvl w:val="0"/>
          <w:numId w:val="4"/>
        </w:numPr>
        <w:kinsoku/>
        <w:wordWrap/>
        <w:overflowPunct/>
        <w:topLinePunct w:val="0"/>
        <w:bidi w:val="0"/>
        <w:snapToGrid/>
        <w:spacing w:line="360" w:lineRule="exact"/>
        <w:ind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EPC合同里总价包干，并未约定税金需要跟着政策变动而变动。目前项目经历了19年税率变更，税率从10%降至9%。项目上认为总价包干合同税率不应该改变，能成立吗？</w:t>
      </w:r>
    </w:p>
    <w:p w14:paraId="3917EBF4">
      <w:pPr>
        <w:pStyle w:val="8"/>
        <w:keepNext w:val="0"/>
        <w:keepLines w:val="0"/>
        <w:pageBreakBefore w:val="0"/>
        <w:numPr>
          <w:ilvl w:val="0"/>
          <w:numId w:val="4"/>
        </w:numPr>
        <w:kinsoku/>
        <w:wordWrap/>
        <w:overflowPunct/>
        <w:topLinePunct w:val="0"/>
        <w:bidi w:val="0"/>
        <w:snapToGrid/>
        <w:spacing w:line="360" w:lineRule="exact"/>
        <w:ind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EPC项目中标后业主要求增加可研初设里没有的内容，可以走工程签证吗？后期审计会不会认为不合规？</w:t>
      </w:r>
    </w:p>
    <w:p w14:paraId="1E921CA5">
      <w:pPr>
        <w:pStyle w:val="8"/>
        <w:keepNext w:val="0"/>
        <w:keepLines w:val="0"/>
        <w:pageBreakBefore w:val="0"/>
        <w:numPr>
          <w:ilvl w:val="0"/>
          <w:numId w:val="4"/>
        </w:numPr>
        <w:kinsoku/>
        <w:wordWrap/>
        <w:overflowPunct/>
        <w:topLinePunct w:val="0"/>
        <w:bidi w:val="0"/>
        <w:snapToGrid/>
        <w:spacing w:line="360" w:lineRule="exact"/>
        <w:ind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EPC招标约定甲供材，单价中应不含材料费，乙方投标时计入材料费，结算甲方要求扣除是否合理？</w:t>
      </w:r>
    </w:p>
    <w:p w14:paraId="39E075D0">
      <w:pPr>
        <w:pStyle w:val="8"/>
        <w:keepNext w:val="0"/>
        <w:keepLines w:val="0"/>
        <w:pageBreakBefore w:val="0"/>
        <w:numPr>
          <w:ilvl w:val="0"/>
          <w:numId w:val="4"/>
        </w:numPr>
        <w:kinsoku/>
        <w:wordWrap/>
        <w:overflowPunct/>
        <w:topLinePunct w:val="0"/>
        <w:bidi w:val="0"/>
        <w:snapToGrid/>
        <w:spacing w:line="360" w:lineRule="exact"/>
        <w:ind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EPC固定总价合同，相关配套工程以“项”报价且无明细，施工后有详细图纸，总价能否调整？</w:t>
      </w:r>
    </w:p>
    <w:p w14:paraId="64B8263B">
      <w:pPr>
        <w:pStyle w:val="8"/>
        <w:keepNext w:val="0"/>
        <w:keepLines w:val="0"/>
        <w:pageBreakBefore w:val="0"/>
        <w:numPr>
          <w:ilvl w:val="0"/>
          <w:numId w:val="4"/>
        </w:numPr>
        <w:kinsoku/>
        <w:wordWrap/>
        <w:overflowPunct/>
        <w:topLinePunct w:val="0"/>
        <w:bidi w:val="0"/>
        <w:snapToGrid/>
        <w:spacing w:line="360" w:lineRule="exact"/>
        <w:ind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EPC合同约定建安费按定额计取，超出招标限价部分由承包方承担，是否合理？</w:t>
      </w:r>
    </w:p>
    <w:p w14:paraId="67F715DD">
      <w:pPr>
        <w:pStyle w:val="8"/>
        <w:keepNext w:val="0"/>
        <w:keepLines w:val="0"/>
        <w:pageBreakBefore w:val="0"/>
        <w:numPr>
          <w:ilvl w:val="0"/>
          <w:numId w:val="4"/>
        </w:numPr>
        <w:kinsoku/>
        <w:wordWrap/>
        <w:overflowPunct/>
        <w:topLinePunct w:val="0"/>
        <w:bidi w:val="0"/>
        <w:snapToGrid/>
        <w:spacing w:line="360" w:lineRule="exact"/>
        <w:ind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如何在合同中明确变更条款以避免风险（如设计错误导致变更不影响总造价）？</w:t>
      </w:r>
    </w:p>
    <w:p w14:paraId="32A8B404">
      <w:pPr>
        <w:pStyle w:val="8"/>
        <w:keepNext w:val="0"/>
        <w:keepLines w:val="0"/>
        <w:pageBreakBefore w:val="0"/>
        <w:numPr>
          <w:ilvl w:val="0"/>
          <w:numId w:val="4"/>
        </w:numPr>
        <w:kinsoku/>
        <w:wordWrap/>
        <w:overflowPunct/>
        <w:topLinePunct w:val="0"/>
        <w:bidi w:val="0"/>
        <w:snapToGrid/>
        <w:spacing w:line="360" w:lineRule="exact"/>
        <w:ind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EPC合同中约定勘察由总包承担且不调价，但勘察结果与预期差距较大，如何处理？</w:t>
      </w:r>
    </w:p>
    <w:p w14:paraId="2CFC59BF">
      <w:pPr>
        <w:pStyle w:val="8"/>
        <w:keepNext w:val="0"/>
        <w:keepLines w:val="0"/>
        <w:pageBreakBefore w:val="0"/>
        <w:numPr>
          <w:ilvl w:val="0"/>
          <w:numId w:val="4"/>
        </w:numPr>
        <w:kinsoku/>
        <w:wordWrap/>
        <w:overflowPunct/>
        <w:topLinePunct w:val="0"/>
        <w:bidi w:val="0"/>
        <w:snapToGrid/>
        <w:spacing w:line="360" w:lineRule="exact"/>
        <w:ind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先桩基施工后土地证批复是否存在违约问题，能否改变合同性质，如何处理？</w:t>
      </w:r>
    </w:p>
    <w:p w14:paraId="3AAACCCC">
      <w:pPr>
        <w:pStyle w:val="8"/>
        <w:keepNext w:val="0"/>
        <w:keepLines w:val="0"/>
        <w:pageBreakBefore w:val="0"/>
        <w:numPr>
          <w:ilvl w:val="0"/>
          <w:numId w:val="4"/>
        </w:numPr>
        <w:kinsoku/>
        <w:wordWrap/>
        <w:overflowPunct/>
        <w:topLinePunct w:val="0"/>
        <w:bidi w:val="0"/>
        <w:snapToGrid/>
        <w:spacing w:line="360" w:lineRule="exact"/>
        <w:ind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业主与运营商合作，运营商对设计有要求，如何推行EPC？</w:t>
      </w:r>
    </w:p>
    <w:p w14:paraId="692CF46A">
      <w:pPr>
        <w:pStyle w:val="8"/>
        <w:keepNext w:val="0"/>
        <w:keepLines w:val="0"/>
        <w:pageBreakBefore w:val="0"/>
        <w:numPr>
          <w:ilvl w:val="0"/>
          <w:numId w:val="4"/>
        </w:numPr>
        <w:kinsoku/>
        <w:wordWrap/>
        <w:overflowPunct/>
        <w:topLinePunct w:val="0"/>
        <w:bidi w:val="0"/>
        <w:snapToGrid/>
        <w:spacing w:line="360" w:lineRule="exact"/>
        <w:ind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EPC项目将红线外强电划入承包范围，供电局不同意审批，如何处理？</w:t>
      </w:r>
    </w:p>
    <w:p w14:paraId="48C5F52B">
      <w:pPr>
        <w:pStyle w:val="8"/>
        <w:keepNext w:val="0"/>
        <w:keepLines w:val="0"/>
        <w:pageBreakBefore w:val="0"/>
        <w:numPr>
          <w:ilvl w:val="0"/>
          <w:numId w:val="4"/>
        </w:numPr>
        <w:kinsoku/>
        <w:wordWrap/>
        <w:overflowPunct/>
        <w:topLinePunct w:val="0"/>
        <w:bidi w:val="0"/>
        <w:snapToGrid/>
        <w:spacing w:line="360" w:lineRule="exact"/>
        <w:ind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EPC项目边出图边施工的并行工程，签合同时暂估价业主要求甲乙双方联合公开招标，乙方要求自己单独招标，如何处理更合规？</w:t>
      </w:r>
    </w:p>
    <w:p w14:paraId="1C4BE999">
      <w:pPr>
        <w:pStyle w:val="8"/>
        <w:keepNext w:val="0"/>
        <w:keepLines w:val="0"/>
        <w:pageBreakBefore w:val="0"/>
        <w:numPr>
          <w:ilvl w:val="0"/>
          <w:numId w:val="4"/>
        </w:numPr>
        <w:kinsoku/>
        <w:wordWrap/>
        <w:overflowPunct/>
        <w:topLinePunct w:val="0"/>
        <w:bidi w:val="0"/>
        <w:snapToGrid/>
        <w:spacing w:line="360" w:lineRule="exact"/>
        <w:ind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项目合同要求BIM设计和总承包服务管理费用属性问题，是否属于投标让利或有其他争取角度，如何处理？</w:t>
      </w:r>
    </w:p>
    <w:p w14:paraId="65F30A3F">
      <w:pPr>
        <w:pStyle w:val="8"/>
        <w:keepNext w:val="0"/>
        <w:keepLines w:val="0"/>
        <w:pageBreakBefore w:val="0"/>
        <w:widowControl/>
        <w:kinsoku/>
        <w:wordWrap/>
        <w:overflowPunct/>
        <w:topLinePunct w:val="0"/>
        <w:autoSpaceDE w:val="0"/>
        <w:autoSpaceDN w:val="0"/>
        <w:bidi w:val="0"/>
        <w:adjustRightInd w:val="0"/>
        <w:snapToGrid/>
        <w:spacing w:line="360" w:lineRule="exact"/>
        <w:ind w:firstLine="0" w:firstLineChars="0"/>
        <w:jc w:val="left"/>
        <w:textAlignment w:val="auto"/>
        <w:rPr>
          <w:rFonts w:hint="eastAsia" w:ascii="仿宋" w:hAnsi="仿宋" w:eastAsia="仿宋" w:cs="仿宋"/>
          <w:b/>
          <w:bCs/>
          <w:sz w:val="24"/>
          <w:szCs w:val="24"/>
        </w:rPr>
      </w:pPr>
      <w:r>
        <w:rPr>
          <w:rFonts w:hint="eastAsia" w:ascii="仿宋" w:hAnsi="仿宋" w:eastAsia="仿宋" w:cs="仿宋"/>
          <w:b/>
          <w:bCs/>
          <w:sz w:val="24"/>
          <w:szCs w:val="24"/>
        </w:rPr>
        <w:t>（四）EPC项目预算阶段疑难问题</w:t>
      </w:r>
    </w:p>
    <w:p w14:paraId="130034B5">
      <w:pPr>
        <w:pStyle w:val="8"/>
        <w:keepNext w:val="0"/>
        <w:keepLines w:val="0"/>
        <w:pageBreakBefore w:val="0"/>
        <w:numPr>
          <w:ilvl w:val="0"/>
          <w:numId w:val="5"/>
        </w:numPr>
        <w:kinsoku/>
        <w:wordWrap/>
        <w:overflowPunct/>
        <w:topLinePunct w:val="0"/>
        <w:bidi w:val="0"/>
        <w:snapToGrid/>
        <w:spacing w:line="360" w:lineRule="exact"/>
        <w:ind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乙方上报概算中材料价格与市场差异大或失真，业主以上报价格为上限审核。理由为“自己上报低价就按照低价给”，是否合理？</w:t>
      </w:r>
    </w:p>
    <w:p w14:paraId="7D0339EA">
      <w:pPr>
        <w:pStyle w:val="8"/>
        <w:keepNext w:val="0"/>
        <w:keepLines w:val="0"/>
        <w:pageBreakBefore w:val="0"/>
        <w:numPr>
          <w:ilvl w:val="0"/>
          <w:numId w:val="5"/>
        </w:numPr>
        <w:kinsoku/>
        <w:wordWrap/>
        <w:overflowPunct/>
        <w:topLinePunct w:val="0"/>
        <w:bidi w:val="0"/>
        <w:snapToGrid/>
        <w:spacing w:line="360" w:lineRule="exact"/>
        <w:ind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EPC项目定额计价，在某片区计价取费中是否应计取“概算幅度差、预算包干费”，如何需根据实际情况判断？</w:t>
      </w:r>
    </w:p>
    <w:p w14:paraId="5F68DD29">
      <w:pPr>
        <w:pStyle w:val="8"/>
        <w:keepNext w:val="0"/>
        <w:keepLines w:val="0"/>
        <w:pageBreakBefore w:val="0"/>
        <w:numPr>
          <w:ilvl w:val="0"/>
          <w:numId w:val="5"/>
        </w:numPr>
        <w:kinsoku/>
        <w:wordWrap/>
        <w:overflowPunct/>
        <w:topLinePunct w:val="0"/>
        <w:bidi w:val="0"/>
        <w:snapToGrid/>
        <w:spacing w:line="360" w:lineRule="exact"/>
        <w:ind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EPC项目预算送财评信息价，编概算当期与合同约定的信息价，两期信息价，时间差，如何处理？</w:t>
      </w:r>
    </w:p>
    <w:p w14:paraId="16BC8597">
      <w:pPr>
        <w:pStyle w:val="8"/>
        <w:keepNext w:val="0"/>
        <w:keepLines w:val="0"/>
        <w:pageBreakBefore w:val="0"/>
        <w:numPr>
          <w:ilvl w:val="0"/>
          <w:numId w:val="5"/>
        </w:numPr>
        <w:kinsoku/>
        <w:wordWrap/>
        <w:overflowPunct/>
        <w:topLinePunct w:val="0"/>
        <w:bidi w:val="0"/>
        <w:snapToGrid/>
        <w:spacing w:line="360" w:lineRule="exact"/>
        <w:ind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EPC预算财评因施工图不细致导致清单缺漏、工程量不准，如何处理？</w:t>
      </w:r>
    </w:p>
    <w:p w14:paraId="3C09AEFA">
      <w:pPr>
        <w:pStyle w:val="8"/>
        <w:keepNext w:val="0"/>
        <w:keepLines w:val="0"/>
        <w:pageBreakBefore w:val="0"/>
        <w:numPr>
          <w:ilvl w:val="0"/>
          <w:numId w:val="5"/>
        </w:numPr>
        <w:kinsoku/>
        <w:wordWrap/>
        <w:overflowPunct/>
        <w:topLinePunct w:val="0"/>
        <w:bidi w:val="0"/>
        <w:snapToGrid/>
        <w:spacing w:line="360" w:lineRule="exact"/>
        <w:ind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EPC施工图预算财评后下浮作为固定单价，主材价格达到招标规模但乙方直接采购，如何合规定价？</w:t>
      </w:r>
    </w:p>
    <w:p w14:paraId="2270E505">
      <w:pPr>
        <w:pStyle w:val="8"/>
        <w:keepNext w:val="0"/>
        <w:keepLines w:val="0"/>
        <w:pageBreakBefore w:val="0"/>
        <w:numPr>
          <w:ilvl w:val="0"/>
          <w:numId w:val="5"/>
        </w:numPr>
        <w:kinsoku/>
        <w:wordWrap/>
        <w:overflowPunct/>
        <w:topLinePunct w:val="0"/>
        <w:bidi w:val="0"/>
        <w:snapToGrid/>
        <w:spacing w:line="360" w:lineRule="exact"/>
        <w:ind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施工图预算评审后招标的EPC项目，预算外增加的地基加固费用如何处理？</w:t>
      </w:r>
    </w:p>
    <w:p w14:paraId="50CB5512">
      <w:pPr>
        <w:pStyle w:val="8"/>
        <w:keepNext w:val="0"/>
        <w:keepLines w:val="0"/>
        <w:pageBreakBefore w:val="0"/>
        <w:numPr>
          <w:ilvl w:val="0"/>
          <w:numId w:val="5"/>
        </w:numPr>
        <w:kinsoku/>
        <w:wordWrap/>
        <w:overflowPunct/>
        <w:topLinePunct w:val="0"/>
        <w:bidi w:val="0"/>
        <w:snapToGrid/>
        <w:spacing w:line="360" w:lineRule="exact"/>
        <w:ind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三边工程因图纸不完整导致需求变化和造价不可控，如何有效控制？</w:t>
      </w:r>
    </w:p>
    <w:p w14:paraId="2DB7914E">
      <w:pPr>
        <w:pStyle w:val="8"/>
        <w:keepNext w:val="0"/>
        <w:keepLines w:val="0"/>
        <w:pageBreakBefore w:val="0"/>
        <w:numPr>
          <w:ilvl w:val="0"/>
          <w:numId w:val="5"/>
        </w:numPr>
        <w:kinsoku/>
        <w:wordWrap/>
        <w:overflowPunct/>
        <w:topLinePunct w:val="0"/>
        <w:bidi w:val="0"/>
        <w:snapToGrid/>
        <w:spacing w:line="360" w:lineRule="exact"/>
        <w:ind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EPC可研招标未做初步设计，施工图预算超限价且设计优化后仍超，如何处理？</w:t>
      </w:r>
    </w:p>
    <w:p w14:paraId="2802A063">
      <w:pPr>
        <w:pStyle w:val="8"/>
        <w:keepNext w:val="0"/>
        <w:keepLines w:val="0"/>
        <w:pageBreakBefore w:val="0"/>
        <w:numPr>
          <w:ilvl w:val="0"/>
          <w:numId w:val="5"/>
        </w:numPr>
        <w:kinsoku/>
        <w:wordWrap/>
        <w:overflowPunct/>
        <w:topLinePunct w:val="0"/>
        <w:bidi w:val="0"/>
        <w:snapToGrid/>
        <w:spacing w:line="360" w:lineRule="exact"/>
        <w:ind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EPC项目初设概算清单招标，暂估价乙方报低了，后招标或认价高了，如何处理？</w:t>
      </w:r>
    </w:p>
    <w:p w14:paraId="618AA77F">
      <w:pPr>
        <w:pStyle w:val="8"/>
        <w:keepNext w:val="0"/>
        <w:keepLines w:val="0"/>
        <w:pageBreakBefore w:val="0"/>
        <w:numPr>
          <w:ilvl w:val="0"/>
          <w:numId w:val="5"/>
        </w:numPr>
        <w:kinsoku/>
        <w:wordWrap/>
        <w:overflowPunct/>
        <w:topLinePunct w:val="0"/>
        <w:bidi w:val="0"/>
        <w:snapToGrid/>
        <w:spacing w:line="360" w:lineRule="exact"/>
        <w:ind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EPC项目调材差，能否追加合同外的材料？</w:t>
      </w:r>
    </w:p>
    <w:p w14:paraId="16ED40F8">
      <w:pPr>
        <w:pStyle w:val="8"/>
        <w:keepNext w:val="0"/>
        <w:keepLines w:val="0"/>
        <w:pageBreakBefore w:val="0"/>
        <w:numPr>
          <w:ilvl w:val="0"/>
          <w:numId w:val="5"/>
        </w:numPr>
        <w:kinsoku/>
        <w:wordWrap/>
        <w:overflowPunct/>
        <w:topLinePunct w:val="0"/>
        <w:bidi w:val="0"/>
        <w:snapToGrid/>
        <w:spacing w:line="360" w:lineRule="exact"/>
        <w:ind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EPC项目控制价招标，甲方责任没开工，甲方扩初图还在设计中，合同约定计价基数是9月份信息价，人材机都在涨价，乙方施工图预算可能远超控制价，如何处理？</w:t>
      </w:r>
    </w:p>
    <w:p w14:paraId="59301622">
      <w:pPr>
        <w:pStyle w:val="8"/>
        <w:keepNext w:val="0"/>
        <w:keepLines w:val="0"/>
        <w:pageBreakBefore w:val="0"/>
        <w:numPr>
          <w:ilvl w:val="0"/>
          <w:numId w:val="5"/>
        </w:numPr>
        <w:kinsoku/>
        <w:wordWrap/>
        <w:overflowPunct/>
        <w:topLinePunct w:val="0"/>
        <w:bidi w:val="0"/>
        <w:snapToGrid/>
        <w:spacing w:line="360" w:lineRule="exact"/>
        <w:ind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无价材料是否参与整体工程下浮，如何减少下浮率造成的损失，如何处理？</w:t>
      </w:r>
    </w:p>
    <w:p w14:paraId="4D7EB399">
      <w:pPr>
        <w:pStyle w:val="8"/>
        <w:keepNext w:val="0"/>
        <w:keepLines w:val="0"/>
        <w:pageBreakBefore w:val="0"/>
        <w:widowControl/>
        <w:kinsoku/>
        <w:wordWrap/>
        <w:overflowPunct/>
        <w:topLinePunct w:val="0"/>
        <w:autoSpaceDE w:val="0"/>
        <w:autoSpaceDN w:val="0"/>
        <w:bidi w:val="0"/>
        <w:adjustRightInd w:val="0"/>
        <w:snapToGrid/>
        <w:spacing w:line="360" w:lineRule="exact"/>
        <w:ind w:firstLine="0" w:firstLineChars="0"/>
        <w:jc w:val="left"/>
        <w:textAlignment w:val="auto"/>
        <w:rPr>
          <w:rFonts w:hint="eastAsia" w:ascii="仿宋" w:hAnsi="仿宋" w:eastAsia="仿宋" w:cs="仿宋"/>
          <w:b/>
          <w:bCs/>
          <w:sz w:val="24"/>
          <w:szCs w:val="24"/>
        </w:rPr>
      </w:pPr>
      <w:r>
        <w:rPr>
          <w:rFonts w:hint="eastAsia" w:ascii="仿宋" w:hAnsi="仿宋" w:eastAsia="仿宋" w:cs="仿宋"/>
          <w:b/>
          <w:bCs/>
          <w:sz w:val="24"/>
          <w:szCs w:val="24"/>
        </w:rPr>
        <w:t>（五）EPC项目履约阶段疑难问题</w:t>
      </w:r>
    </w:p>
    <w:p w14:paraId="411B4F14">
      <w:pPr>
        <w:pStyle w:val="8"/>
        <w:keepNext w:val="0"/>
        <w:keepLines w:val="0"/>
        <w:pageBreakBefore w:val="0"/>
        <w:numPr>
          <w:ilvl w:val="0"/>
          <w:numId w:val="6"/>
        </w:numPr>
        <w:kinsoku/>
        <w:wordWrap/>
        <w:overflowPunct/>
        <w:topLinePunct w:val="0"/>
        <w:bidi w:val="0"/>
        <w:snapToGrid/>
        <w:spacing w:line="360" w:lineRule="exact"/>
        <w:ind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乙方未包含措施项目（临时道路、围挡、三通一平）内容，施工组织设计被业主拒收。相对应的措施项目费用业主也拒收，如何处理？</w:t>
      </w:r>
    </w:p>
    <w:p w14:paraId="63F40FFE">
      <w:pPr>
        <w:pStyle w:val="8"/>
        <w:keepNext w:val="0"/>
        <w:keepLines w:val="0"/>
        <w:pageBreakBefore w:val="0"/>
        <w:numPr>
          <w:ilvl w:val="0"/>
          <w:numId w:val="6"/>
        </w:numPr>
        <w:kinsoku/>
        <w:wordWrap/>
        <w:overflowPunct/>
        <w:topLinePunct w:val="0"/>
        <w:bidi w:val="0"/>
        <w:snapToGrid/>
        <w:spacing w:line="360" w:lineRule="exact"/>
        <w:ind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EPC总价包干，招标初设图纸三级围岩，也是按此报价，实际现场围岩等级是五级，如何处理？</w:t>
      </w:r>
    </w:p>
    <w:p w14:paraId="5868D737">
      <w:pPr>
        <w:pStyle w:val="8"/>
        <w:keepNext w:val="0"/>
        <w:keepLines w:val="0"/>
        <w:pageBreakBefore w:val="0"/>
        <w:numPr>
          <w:ilvl w:val="0"/>
          <w:numId w:val="6"/>
        </w:numPr>
        <w:kinsoku/>
        <w:wordWrap/>
        <w:overflowPunct/>
        <w:topLinePunct w:val="0"/>
        <w:bidi w:val="0"/>
        <w:snapToGrid/>
        <w:spacing w:line="360" w:lineRule="exact"/>
        <w:ind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EPC项目总价包干，甲方如何管控质量，精装修部分如何控价？</w:t>
      </w:r>
    </w:p>
    <w:p w14:paraId="50106EE2">
      <w:pPr>
        <w:pStyle w:val="8"/>
        <w:keepNext w:val="0"/>
        <w:keepLines w:val="0"/>
        <w:pageBreakBefore w:val="0"/>
        <w:numPr>
          <w:ilvl w:val="0"/>
          <w:numId w:val="6"/>
        </w:numPr>
        <w:kinsoku/>
        <w:wordWrap/>
        <w:overflowPunct/>
        <w:topLinePunct w:val="0"/>
        <w:bidi w:val="0"/>
        <w:snapToGrid/>
        <w:spacing w:line="360" w:lineRule="exact"/>
        <w:ind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EPC项目边出图边施工，临时工程费按施工图预算合价包干，能否按实结算？</w:t>
      </w:r>
    </w:p>
    <w:p w14:paraId="08B25CED">
      <w:pPr>
        <w:pStyle w:val="8"/>
        <w:keepNext w:val="0"/>
        <w:keepLines w:val="0"/>
        <w:pageBreakBefore w:val="0"/>
        <w:numPr>
          <w:ilvl w:val="0"/>
          <w:numId w:val="6"/>
        </w:numPr>
        <w:kinsoku/>
        <w:wordWrap/>
        <w:overflowPunct/>
        <w:topLinePunct w:val="0"/>
        <w:bidi w:val="0"/>
        <w:snapToGrid/>
        <w:spacing w:line="360" w:lineRule="exact"/>
        <w:ind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如何管控设计质量，确保出图准确性？</w:t>
      </w:r>
    </w:p>
    <w:p w14:paraId="38256497">
      <w:pPr>
        <w:pStyle w:val="8"/>
        <w:keepNext w:val="0"/>
        <w:keepLines w:val="0"/>
        <w:pageBreakBefore w:val="0"/>
        <w:numPr>
          <w:ilvl w:val="0"/>
          <w:numId w:val="6"/>
        </w:numPr>
        <w:kinsoku/>
        <w:wordWrap/>
        <w:overflowPunct/>
        <w:topLinePunct w:val="0"/>
        <w:bidi w:val="0"/>
        <w:snapToGrid/>
        <w:spacing w:line="360" w:lineRule="exact"/>
        <w:ind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EPC合同要求提供深化设计效果图，乙方推脱称施工图包含说明，如何处理？</w:t>
      </w:r>
    </w:p>
    <w:p w14:paraId="63B5A36D">
      <w:pPr>
        <w:pStyle w:val="8"/>
        <w:keepNext w:val="0"/>
        <w:keepLines w:val="0"/>
        <w:pageBreakBefore w:val="0"/>
        <w:numPr>
          <w:ilvl w:val="0"/>
          <w:numId w:val="6"/>
        </w:numPr>
        <w:kinsoku/>
        <w:wordWrap/>
        <w:overflowPunct/>
        <w:topLinePunct w:val="0"/>
        <w:bidi w:val="0"/>
        <w:snapToGrid/>
        <w:spacing w:line="360" w:lineRule="exact"/>
        <w:ind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EPC合同约定人工费不超总价30%，但赶工需大量人工，如何处理？</w:t>
      </w:r>
    </w:p>
    <w:p w14:paraId="3CE0BFE5">
      <w:pPr>
        <w:pStyle w:val="8"/>
        <w:keepNext w:val="0"/>
        <w:keepLines w:val="0"/>
        <w:pageBreakBefore w:val="0"/>
        <w:numPr>
          <w:ilvl w:val="0"/>
          <w:numId w:val="6"/>
        </w:numPr>
        <w:kinsoku/>
        <w:wordWrap/>
        <w:overflowPunct/>
        <w:topLinePunct w:val="0"/>
        <w:bidi w:val="0"/>
        <w:snapToGrid/>
        <w:spacing w:line="360" w:lineRule="exact"/>
        <w:ind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如何平衡各专业分包利益，实现总包效益最大化？</w:t>
      </w:r>
    </w:p>
    <w:p w14:paraId="1B580E07">
      <w:pPr>
        <w:pStyle w:val="8"/>
        <w:keepNext w:val="0"/>
        <w:keepLines w:val="0"/>
        <w:pageBreakBefore w:val="0"/>
        <w:numPr>
          <w:ilvl w:val="0"/>
          <w:numId w:val="6"/>
        </w:numPr>
        <w:kinsoku/>
        <w:wordWrap/>
        <w:overflowPunct/>
        <w:topLinePunct w:val="0"/>
        <w:bidi w:val="0"/>
        <w:snapToGrid/>
        <w:spacing w:line="360" w:lineRule="exact"/>
        <w:ind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EPC项目进场后，根据初步设计和需求固定会议成果进行施工图设计。若建设单位多次修改建议导致设计反复，可认为是建设单位原因造成的工作增加，能否进行签证？</w:t>
      </w:r>
    </w:p>
    <w:p w14:paraId="1350C1D8">
      <w:pPr>
        <w:pStyle w:val="8"/>
        <w:keepNext w:val="0"/>
        <w:keepLines w:val="0"/>
        <w:pageBreakBefore w:val="0"/>
        <w:numPr>
          <w:ilvl w:val="0"/>
          <w:numId w:val="6"/>
        </w:numPr>
        <w:kinsoku/>
        <w:wordWrap/>
        <w:overflowPunct/>
        <w:topLinePunct w:val="0"/>
        <w:bidi w:val="0"/>
        <w:snapToGrid/>
        <w:spacing w:line="360" w:lineRule="exact"/>
        <w:ind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EPC项目设计方不配合施工方做设计优化，如何处理？</w:t>
      </w:r>
    </w:p>
    <w:p w14:paraId="2FD411B8">
      <w:pPr>
        <w:pStyle w:val="8"/>
        <w:keepNext w:val="0"/>
        <w:keepLines w:val="0"/>
        <w:pageBreakBefore w:val="0"/>
        <w:numPr>
          <w:ilvl w:val="0"/>
          <w:numId w:val="6"/>
        </w:numPr>
        <w:kinsoku/>
        <w:wordWrap/>
        <w:overflowPunct/>
        <w:topLinePunct w:val="0"/>
        <w:bidi w:val="0"/>
        <w:snapToGrid/>
        <w:spacing w:line="360" w:lineRule="exact"/>
        <w:ind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EPC合同约定，承包人超出设计图纸范围，含设计变更，和因承包人原因造成返工的工程量，不予计量，如何理解？</w:t>
      </w:r>
    </w:p>
    <w:p w14:paraId="55E743BC">
      <w:pPr>
        <w:pStyle w:val="8"/>
        <w:keepNext w:val="0"/>
        <w:keepLines w:val="0"/>
        <w:pageBreakBefore w:val="0"/>
        <w:numPr>
          <w:ilvl w:val="0"/>
          <w:numId w:val="6"/>
        </w:numPr>
        <w:kinsoku/>
        <w:wordWrap/>
        <w:overflowPunct/>
        <w:topLinePunct w:val="0"/>
        <w:bidi w:val="0"/>
        <w:snapToGrid/>
        <w:spacing w:line="360" w:lineRule="exact"/>
        <w:ind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EPC项目尚未完工，非标大型设备计价产生争议，如何处理？</w:t>
      </w:r>
    </w:p>
    <w:p w14:paraId="54037CA1">
      <w:pPr>
        <w:pStyle w:val="8"/>
        <w:keepNext w:val="0"/>
        <w:keepLines w:val="0"/>
        <w:pageBreakBefore w:val="0"/>
        <w:widowControl/>
        <w:kinsoku/>
        <w:wordWrap/>
        <w:overflowPunct/>
        <w:topLinePunct w:val="0"/>
        <w:autoSpaceDE w:val="0"/>
        <w:autoSpaceDN w:val="0"/>
        <w:bidi w:val="0"/>
        <w:adjustRightInd w:val="0"/>
        <w:snapToGrid/>
        <w:spacing w:line="360" w:lineRule="exact"/>
        <w:ind w:firstLine="0" w:firstLineChars="0"/>
        <w:jc w:val="left"/>
        <w:textAlignment w:val="auto"/>
        <w:rPr>
          <w:rFonts w:hint="eastAsia" w:ascii="仿宋" w:hAnsi="仿宋" w:eastAsia="仿宋" w:cs="仿宋"/>
          <w:b/>
          <w:bCs/>
          <w:sz w:val="24"/>
          <w:szCs w:val="24"/>
        </w:rPr>
      </w:pPr>
      <w:r>
        <w:rPr>
          <w:rFonts w:hint="eastAsia" w:ascii="仿宋" w:hAnsi="仿宋" w:eastAsia="仿宋" w:cs="仿宋"/>
          <w:b/>
          <w:bCs/>
          <w:sz w:val="24"/>
          <w:szCs w:val="24"/>
        </w:rPr>
        <w:t>（六）EPC项目结算阶段疑难问题</w:t>
      </w:r>
    </w:p>
    <w:p w14:paraId="21620EE3">
      <w:pPr>
        <w:pStyle w:val="8"/>
        <w:keepNext w:val="0"/>
        <w:keepLines w:val="0"/>
        <w:pageBreakBefore w:val="0"/>
        <w:numPr>
          <w:ilvl w:val="0"/>
          <w:numId w:val="7"/>
        </w:numPr>
        <w:kinsoku/>
        <w:wordWrap/>
        <w:overflowPunct/>
        <w:topLinePunct w:val="0"/>
        <w:bidi w:val="0"/>
        <w:snapToGrid/>
        <w:spacing w:line="360" w:lineRule="exact"/>
        <w:ind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EPC项目费率下浮中标，当实际发生费用因本项目的标准提高而远远超出合同总价，可否按照原合同总价进行结算，是否在在法律风险?</w:t>
      </w:r>
    </w:p>
    <w:p w14:paraId="1C80F5DC">
      <w:pPr>
        <w:pStyle w:val="8"/>
        <w:keepNext w:val="0"/>
        <w:keepLines w:val="0"/>
        <w:pageBreakBefore w:val="0"/>
        <w:numPr>
          <w:ilvl w:val="0"/>
          <w:numId w:val="7"/>
        </w:numPr>
        <w:kinsoku/>
        <w:wordWrap/>
        <w:overflowPunct/>
        <w:topLinePunct w:val="0"/>
        <w:bidi w:val="0"/>
        <w:snapToGrid/>
        <w:spacing w:line="360" w:lineRule="exact"/>
        <w:ind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EPC项目结算，甲方实测量为准，不认施工图，竣工图，如何处理？</w:t>
      </w:r>
    </w:p>
    <w:p w14:paraId="00F7B686">
      <w:pPr>
        <w:pStyle w:val="8"/>
        <w:keepNext w:val="0"/>
        <w:keepLines w:val="0"/>
        <w:pageBreakBefore w:val="0"/>
        <w:numPr>
          <w:ilvl w:val="0"/>
          <w:numId w:val="7"/>
        </w:numPr>
        <w:kinsoku/>
        <w:wordWrap/>
        <w:overflowPunct/>
        <w:topLinePunct w:val="0"/>
        <w:bidi w:val="0"/>
        <w:snapToGrid/>
        <w:spacing w:line="360" w:lineRule="exact"/>
        <w:ind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EPC项目结算阶段经审核后的总价突破了合同价，没有突破概算价格，怎么处理？</w:t>
      </w:r>
    </w:p>
    <w:p w14:paraId="230A21A3">
      <w:pPr>
        <w:pStyle w:val="8"/>
        <w:keepNext w:val="0"/>
        <w:keepLines w:val="0"/>
        <w:pageBreakBefore w:val="0"/>
        <w:numPr>
          <w:ilvl w:val="0"/>
          <w:numId w:val="7"/>
        </w:numPr>
        <w:kinsoku/>
        <w:wordWrap/>
        <w:overflowPunct/>
        <w:topLinePunct w:val="0"/>
        <w:bidi w:val="0"/>
        <w:snapToGrid/>
        <w:spacing w:line="360" w:lineRule="exact"/>
        <w:ind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EPC合同约定总价包干且投标有分项价，分项超投标价时能否按高结算？</w:t>
      </w:r>
    </w:p>
    <w:p w14:paraId="26AE792E">
      <w:pPr>
        <w:pStyle w:val="8"/>
        <w:keepNext w:val="0"/>
        <w:keepLines w:val="0"/>
        <w:pageBreakBefore w:val="0"/>
        <w:numPr>
          <w:ilvl w:val="0"/>
          <w:numId w:val="7"/>
        </w:numPr>
        <w:kinsoku/>
        <w:wordWrap/>
        <w:overflowPunct/>
        <w:topLinePunct w:val="0"/>
        <w:bidi w:val="0"/>
        <w:snapToGrid/>
        <w:spacing w:line="360" w:lineRule="exact"/>
        <w:ind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EPC项目结算金额不得超合同价，但模拟清单漏项按实结算超限，如何处理？</w:t>
      </w:r>
    </w:p>
    <w:p w14:paraId="47374C5C">
      <w:pPr>
        <w:pStyle w:val="8"/>
        <w:keepNext w:val="0"/>
        <w:keepLines w:val="0"/>
        <w:pageBreakBefore w:val="0"/>
        <w:numPr>
          <w:ilvl w:val="0"/>
          <w:numId w:val="7"/>
        </w:numPr>
        <w:kinsoku/>
        <w:wordWrap/>
        <w:overflowPunct/>
        <w:topLinePunct w:val="0"/>
        <w:bidi w:val="0"/>
        <w:snapToGrid/>
        <w:spacing w:line="360" w:lineRule="exact"/>
        <w:ind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EPC工程结算单价是否必须为审核后的预算单价？结算时能否调价？</w:t>
      </w:r>
    </w:p>
    <w:p w14:paraId="04591922">
      <w:pPr>
        <w:pStyle w:val="8"/>
        <w:keepNext w:val="0"/>
        <w:keepLines w:val="0"/>
        <w:pageBreakBefore w:val="0"/>
        <w:numPr>
          <w:ilvl w:val="0"/>
          <w:numId w:val="7"/>
        </w:numPr>
        <w:kinsoku/>
        <w:wordWrap/>
        <w:overflowPunct/>
        <w:topLinePunct w:val="0"/>
        <w:bidi w:val="0"/>
        <w:snapToGrid/>
        <w:spacing w:line="360" w:lineRule="exact"/>
        <w:ind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EPC总价包干项目，施工图设计变更导致费用增加（如两排桩变三排），能否扣除？</w:t>
      </w:r>
    </w:p>
    <w:p w14:paraId="2654B235">
      <w:pPr>
        <w:pStyle w:val="8"/>
        <w:keepNext w:val="0"/>
        <w:keepLines w:val="0"/>
        <w:pageBreakBefore w:val="0"/>
        <w:numPr>
          <w:ilvl w:val="0"/>
          <w:numId w:val="7"/>
        </w:numPr>
        <w:kinsoku/>
        <w:wordWrap/>
        <w:overflowPunct/>
        <w:topLinePunct w:val="0"/>
        <w:bidi w:val="0"/>
        <w:snapToGrid/>
        <w:spacing w:line="360" w:lineRule="exact"/>
        <w:ind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业主原因延迟开工是否调整基期价格？</w:t>
      </w:r>
    </w:p>
    <w:p w14:paraId="7447C26B">
      <w:pPr>
        <w:pStyle w:val="8"/>
        <w:keepNext w:val="0"/>
        <w:keepLines w:val="0"/>
        <w:pageBreakBefore w:val="0"/>
        <w:numPr>
          <w:ilvl w:val="0"/>
          <w:numId w:val="7"/>
        </w:numPr>
        <w:kinsoku/>
        <w:wordWrap/>
        <w:overflowPunct/>
        <w:topLinePunct w:val="0"/>
        <w:bidi w:val="0"/>
        <w:snapToGrid/>
        <w:spacing w:line="360" w:lineRule="exact"/>
        <w:ind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项目招标面积与实测竣工备案面积不符，如何争取这部分内容？</w:t>
      </w:r>
    </w:p>
    <w:p w14:paraId="1A78F524">
      <w:pPr>
        <w:pStyle w:val="8"/>
        <w:keepNext w:val="0"/>
        <w:keepLines w:val="0"/>
        <w:pageBreakBefore w:val="0"/>
        <w:numPr>
          <w:ilvl w:val="0"/>
          <w:numId w:val="7"/>
        </w:numPr>
        <w:kinsoku/>
        <w:wordWrap/>
        <w:overflowPunct/>
        <w:topLinePunct w:val="0"/>
        <w:bidi w:val="0"/>
        <w:snapToGrid/>
        <w:spacing w:line="360" w:lineRule="exact"/>
        <w:ind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EPC项目预算审核版图纸与竣工图不一致，是否按实际现场施工量结算？</w:t>
      </w:r>
    </w:p>
    <w:p w14:paraId="01C5E750">
      <w:pPr>
        <w:pStyle w:val="8"/>
        <w:keepNext w:val="0"/>
        <w:keepLines w:val="0"/>
        <w:pageBreakBefore w:val="0"/>
        <w:numPr>
          <w:ilvl w:val="0"/>
          <w:numId w:val="7"/>
        </w:numPr>
        <w:kinsoku/>
        <w:wordWrap/>
        <w:overflowPunct/>
        <w:topLinePunct w:val="0"/>
        <w:bidi w:val="0"/>
        <w:snapToGrid/>
        <w:spacing w:line="360" w:lineRule="exact"/>
        <w:ind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EPC项目结算时，若施工图预算与结算差距大，而审计人员偏向小结算，能否提出异议并协商解决？过程中能否调整施工图预算以缩小差距？</w:t>
      </w:r>
    </w:p>
    <w:p w14:paraId="3997AF61">
      <w:pPr>
        <w:pStyle w:val="8"/>
        <w:keepNext w:val="0"/>
        <w:keepLines w:val="0"/>
        <w:pageBreakBefore w:val="0"/>
        <w:numPr>
          <w:ilvl w:val="0"/>
          <w:numId w:val="7"/>
        </w:numPr>
        <w:kinsoku/>
        <w:wordWrap/>
        <w:overflowPunct/>
        <w:topLinePunct w:val="0"/>
        <w:bidi w:val="0"/>
        <w:snapToGrid/>
        <w:spacing w:line="360" w:lineRule="exact"/>
        <w:ind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针对费率计价的EPC项目，部分套价能否按施工方案计价？</w:t>
      </w:r>
    </w:p>
    <w:p w14:paraId="39D2E191">
      <w:pPr>
        <w:pStyle w:val="8"/>
        <w:keepNext w:val="0"/>
        <w:keepLines w:val="0"/>
        <w:pageBreakBefore w:val="0"/>
        <w:widowControl/>
        <w:kinsoku/>
        <w:wordWrap/>
        <w:overflowPunct/>
        <w:topLinePunct w:val="0"/>
        <w:autoSpaceDE w:val="0"/>
        <w:autoSpaceDN w:val="0"/>
        <w:bidi w:val="0"/>
        <w:adjustRightInd w:val="0"/>
        <w:snapToGrid/>
        <w:spacing w:line="360" w:lineRule="exact"/>
        <w:ind w:firstLine="0" w:firstLineChars="0"/>
        <w:jc w:val="left"/>
        <w:textAlignment w:val="auto"/>
        <w:rPr>
          <w:rFonts w:hint="eastAsia" w:ascii="仿宋" w:hAnsi="仿宋" w:eastAsia="仿宋" w:cs="仿宋"/>
          <w:b/>
          <w:bCs/>
          <w:sz w:val="24"/>
          <w:szCs w:val="24"/>
        </w:rPr>
      </w:pPr>
      <w:r>
        <w:rPr>
          <w:rFonts w:hint="eastAsia" w:ascii="仿宋" w:hAnsi="仿宋" w:eastAsia="仿宋" w:cs="仿宋"/>
          <w:b/>
          <w:bCs/>
          <w:sz w:val="24"/>
          <w:szCs w:val="24"/>
        </w:rPr>
        <w:t>（七）EPC项目索赔疑难问题</w:t>
      </w:r>
    </w:p>
    <w:p w14:paraId="60CFDDA9">
      <w:pPr>
        <w:pStyle w:val="8"/>
        <w:keepNext w:val="0"/>
        <w:keepLines w:val="0"/>
        <w:pageBreakBefore w:val="0"/>
        <w:numPr>
          <w:ilvl w:val="0"/>
          <w:numId w:val="8"/>
        </w:numPr>
        <w:kinsoku/>
        <w:wordWrap/>
        <w:overflowPunct/>
        <w:topLinePunct w:val="0"/>
        <w:bidi w:val="0"/>
        <w:snapToGrid/>
        <w:spacing w:line="360" w:lineRule="exact"/>
        <w:ind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初勘和详勘偏差较大，导致桩基工程量增加。目前属于变更情况，但主合同约定初勘与实际勘测不符时，经勘测单位和专家论证后，500万以内不调整，500万以上同意补偿。然而，乙方认为初勘资料不齐全，应套用合同中不齐全的条款，全额赔偿，是否合理？</w:t>
      </w:r>
    </w:p>
    <w:p w14:paraId="3F883581">
      <w:pPr>
        <w:pStyle w:val="8"/>
        <w:keepNext w:val="0"/>
        <w:keepLines w:val="0"/>
        <w:pageBreakBefore w:val="0"/>
        <w:numPr>
          <w:ilvl w:val="0"/>
          <w:numId w:val="8"/>
        </w:numPr>
        <w:kinsoku/>
        <w:wordWrap/>
        <w:overflowPunct/>
        <w:topLinePunct w:val="0"/>
        <w:bidi w:val="0"/>
        <w:snapToGrid/>
        <w:spacing w:line="360" w:lineRule="exact"/>
        <w:ind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EPC合同约定变更按定额，零星工程工程量小地点分散，实际费用和定额差价大，据实签证是否违反合同约定？</w:t>
      </w:r>
    </w:p>
    <w:p w14:paraId="288C6EE2">
      <w:pPr>
        <w:pStyle w:val="8"/>
        <w:keepNext w:val="0"/>
        <w:keepLines w:val="0"/>
        <w:pageBreakBefore w:val="0"/>
        <w:numPr>
          <w:ilvl w:val="0"/>
          <w:numId w:val="8"/>
        </w:numPr>
        <w:kinsoku/>
        <w:wordWrap/>
        <w:overflowPunct/>
        <w:topLinePunct w:val="0"/>
        <w:bidi w:val="0"/>
        <w:snapToGrid/>
        <w:spacing w:line="360" w:lineRule="exact"/>
        <w:ind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业主投资的是按照类似项目估算得出，增加了地下2层地下室及基坑围护的概算。但增加的概算对应后期经过专家论证的基坑围护方案有较大差距。虽然我方有优化义务但基坑增加金额难以覆盖，这种情况怎么去调整这部分内容？</w:t>
      </w:r>
    </w:p>
    <w:p w14:paraId="4761BB92">
      <w:pPr>
        <w:pStyle w:val="8"/>
        <w:keepNext w:val="0"/>
        <w:keepLines w:val="0"/>
        <w:pageBreakBefore w:val="0"/>
        <w:numPr>
          <w:ilvl w:val="0"/>
          <w:numId w:val="8"/>
        </w:numPr>
        <w:kinsoku/>
        <w:wordWrap/>
        <w:overflowPunct/>
        <w:topLinePunct w:val="0"/>
        <w:bidi w:val="0"/>
        <w:snapToGrid/>
        <w:spacing w:line="360" w:lineRule="exact"/>
        <w:ind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甲方认为无设计变更，实际变更创效可能不被计量，如何应对？</w:t>
      </w:r>
    </w:p>
    <w:p w14:paraId="577631E5">
      <w:pPr>
        <w:pStyle w:val="8"/>
        <w:keepNext w:val="0"/>
        <w:keepLines w:val="0"/>
        <w:pageBreakBefore w:val="0"/>
        <w:numPr>
          <w:ilvl w:val="0"/>
          <w:numId w:val="8"/>
        </w:numPr>
        <w:kinsoku/>
        <w:wordWrap/>
        <w:overflowPunct/>
        <w:topLinePunct w:val="0"/>
        <w:bidi w:val="0"/>
        <w:snapToGrid/>
        <w:spacing w:line="360" w:lineRule="exact"/>
        <w:ind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EPC合同条款严格（如运距限制），遇不可抗力如何争取谈判空间？</w:t>
      </w:r>
    </w:p>
    <w:p w14:paraId="32C98CB2">
      <w:pPr>
        <w:pStyle w:val="8"/>
        <w:keepNext w:val="0"/>
        <w:keepLines w:val="0"/>
        <w:pageBreakBefore w:val="0"/>
        <w:numPr>
          <w:ilvl w:val="0"/>
          <w:numId w:val="8"/>
        </w:numPr>
        <w:kinsoku/>
        <w:wordWrap/>
        <w:overflowPunct/>
        <w:topLinePunct w:val="0"/>
        <w:bidi w:val="0"/>
        <w:snapToGrid/>
        <w:spacing w:line="360" w:lineRule="exact"/>
        <w:ind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是否存在专门的EPC模式变更管理办法？</w:t>
      </w:r>
    </w:p>
    <w:p w14:paraId="226CD021">
      <w:pPr>
        <w:pStyle w:val="8"/>
        <w:keepNext w:val="0"/>
        <w:keepLines w:val="0"/>
        <w:pageBreakBefore w:val="0"/>
        <w:numPr>
          <w:ilvl w:val="0"/>
          <w:numId w:val="8"/>
        </w:numPr>
        <w:kinsoku/>
        <w:wordWrap/>
        <w:overflowPunct/>
        <w:topLinePunct w:val="0"/>
        <w:bidi w:val="0"/>
        <w:snapToGrid/>
        <w:spacing w:line="360" w:lineRule="exact"/>
        <w:ind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人防工程增加预备费列支，预备费是否包括不可预见费用？</w:t>
      </w:r>
    </w:p>
    <w:p w14:paraId="648A372A">
      <w:pPr>
        <w:pStyle w:val="8"/>
        <w:keepNext w:val="0"/>
        <w:keepLines w:val="0"/>
        <w:pageBreakBefore w:val="0"/>
        <w:numPr>
          <w:ilvl w:val="0"/>
          <w:numId w:val="8"/>
        </w:numPr>
        <w:kinsoku/>
        <w:wordWrap/>
        <w:overflowPunct/>
        <w:topLinePunct w:val="0"/>
        <w:bidi w:val="0"/>
        <w:snapToGrid/>
        <w:spacing w:line="360" w:lineRule="exact"/>
        <w:ind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EPC工程施工实际建安费超合同价，面临停工或调价矛盾，如何处理？</w:t>
      </w:r>
    </w:p>
    <w:p w14:paraId="59B81026">
      <w:pPr>
        <w:pStyle w:val="8"/>
        <w:keepNext w:val="0"/>
        <w:keepLines w:val="0"/>
        <w:pageBreakBefore w:val="0"/>
        <w:numPr>
          <w:ilvl w:val="0"/>
          <w:numId w:val="8"/>
        </w:numPr>
        <w:kinsoku/>
        <w:wordWrap/>
        <w:overflowPunct/>
        <w:topLinePunct w:val="0"/>
        <w:bidi w:val="0"/>
        <w:snapToGrid/>
        <w:spacing w:line="360" w:lineRule="exact"/>
        <w:ind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面对大宗商品价格上涨，省住房与建设厅发布通知，要求双方按合同约定调整价格。若合同未约定或不明确，可签补充协议。材料价格上涨，能否单独调整需协商，如何处理？</w:t>
      </w:r>
    </w:p>
    <w:p w14:paraId="74E33943">
      <w:pPr>
        <w:pStyle w:val="8"/>
        <w:keepNext w:val="0"/>
        <w:keepLines w:val="0"/>
        <w:pageBreakBefore w:val="0"/>
        <w:numPr>
          <w:ilvl w:val="0"/>
          <w:numId w:val="8"/>
        </w:numPr>
        <w:kinsoku/>
        <w:wordWrap/>
        <w:overflowPunct/>
        <w:topLinePunct w:val="0"/>
        <w:bidi w:val="0"/>
        <w:snapToGrid/>
        <w:spacing w:line="360" w:lineRule="exact"/>
        <w:ind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政策性文件导致合同额增加时，能否与业主协商将增加部分转化为合同收入，确保收益？</w:t>
      </w:r>
    </w:p>
    <w:p w14:paraId="7CD997BC">
      <w:pPr>
        <w:pStyle w:val="8"/>
        <w:keepNext w:val="0"/>
        <w:keepLines w:val="0"/>
        <w:pageBreakBefore w:val="0"/>
        <w:numPr>
          <w:ilvl w:val="0"/>
          <w:numId w:val="8"/>
        </w:numPr>
        <w:kinsoku/>
        <w:wordWrap/>
        <w:overflowPunct/>
        <w:topLinePunct w:val="0"/>
        <w:bidi w:val="0"/>
        <w:snapToGrid/>
        <w:spacing w:line="360" w:lineRule="exact"/>
        <w:ind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EPC合同约定，承包人合理化建议，经设计单位同意，并经发包人批准的设计变更，调整合同价款，如何适用？超出设计图纸范围的能否调整合同价款？</w:t>
      </w:r>
    </w:p>
    <w:p w14:paraId="190371D5">
      <w:pPr>
        <w:pStyle w:val="8"/>
        <w:keepNext w:val="0"/>
        <w:keepLines w:val="0"/>
        <w:pageBreakBefore w:val="0"/>
        <w:widowControl/>
        <w:kinsoku/>
        <w:wordWrap/>
        <w:overflowPunct/>
        <w:topLinePunct w:val="0"/>
        <w:autoSpaceDE w:val="0"/>
        <w:autoSpaceDN w:val="0"/>
        <w:bidi w:val="0"/>
        <w:adjustRightInd w:val="0"/>
        <w:snapToGrid/>
        <w:spacing w:line="360" w:lineRule="exact"/>
        <w:ind w:firstLine="0" w:firstLineChars="0"/>
        <w:jc w:val="left"/>
        <w:textAlignment w:val="auto"/>
        <w:rPr>
          <w:rFonts w:hint="eastAsia" w:ascii="仿宋" w:hAnsi="仿宋" w:eastAsia="仿宋" w:cs="仿宋"/>
          <w:b/>
          <w:bCs/>
          <w:sz w:val="24"/>
          <w:szCs w:val="24"/>
        </w:rPr>
      </w:pPr>
      <w:r>
        <w:rPr>
          <w:rFonts w:hint="eastAsia" w:ascii="仿宋" w:hAnsi="仿宋" w:eastAsia="仿宋" w:cs="仿宋"/>
          <w:b/>
          <w:bCs/>
          <w:sz w:val="24"/>
          <w:szCs w:val="24"/>
        </w:rPr>
        <w:t>（八）EPC项目财政评审问题</w:t>
      </w:r>
    </w:p>
    <w:p w14:paraId="52E46131">
      <w:pPr>
        <w:pStyle w:val="8"/>
        <w:keepNext w:val="0"/>
        <w:keepLines w:val="0"/>
        <w:pageBreakBefore w:val="0"/>
        <w:numPr>
          <w:ilvl w:val="0"/>
          <w:numId w:val="9"/>
        </w:numPr>
        <w:kinsoku/>
        <w:wordWrap/>
        <w:overflowPunct/>
        <w:topLinePunct w:val="0"/>
        <w:bidi w:val="0"/>
        <w:snapToGrid/>
        <w:spacing w:line="360" w:lineRule="exact"/>
        <w:ind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EPC项目财政评审时按当地定额，计取了二次搬运费、夜间施工费、冬雨季施工费，现结算审计不按财评给定费率计取，是否合理？</w:t>
      </w:r>
    </w:p>
    <w:p w14:paraId="7A63E2F9">
      <w:pPr>
        <w:pStyle w:val="8"/>
        <w:keepNext w:val="0"/>
        <w:keepLines w:val="0"/>
        <w:pageBreakBefore w:val="0"/>
        <w:numPr>
          <w:ilvl w:val="0"/>
          <w:numId w:val="9"/>
        </w:numPr>
        <w:kinsoku/>
        <w:wordWrap/>
        <w:overflowPunct/>
        <w:topLinePunct w:val="0"/>
        <w:bidi w:val="0"/>
        <w:snapToGrid/>
        <w:spacing w:line="360" w:lineRule="exact"/>
        <w:ind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EPC项目约定乙方招标设备，甲方给了限价单，但限价单限制了品牌，是否合理？</w:t>
      </w:r>
    </w:p>
    <w:p w14:paraId="6445CFD6">
      <w:pPr>
        <w:pStyle w:val="8"/>
        <w:keepNext w:val="0"/>
        <w:keepLines w:val="0"/>
        <w:pageBreakBefore w:val="0"/>
        <w:numPr>
          <w:ilvl w:val="0"/>
          <w:numId w:val="9"/>
        </w:numPr>
        <w:kinsoku/>
        <w:wordWrap/>
        <w:overflowPunct/>
        <w:topLinePunct w:val="0"/>
        <w:bidi w:val="0"/>
        <w:snapToGrid/>
        <w:spacing w:line="360" w:lineRule="exact"/>
        <w:ind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EPC无信息价材料，认质认价，手续是齐全，审计能否推翻？</w:t>
      </w:r>
    </w:p>
    <w:p w14:paraId="25052A2B">
      <w:pPr>
        <w:pStyle w:val="8"/>
        <w:keepNext w:val="0"/>
        <w:keepLines w:val="0"/>
        <w:pageBreakBefore w:val="0"/>
        <w:numPr>
          <w:ilvl w:val="0"/>
          <w:numId w:val="9"/>
        </w:numPr>
        <w:kinsoku/>
        <w:wordWrap/>
        <w:overflowPunct/>
        <w:topLinePunct w:val="0"/>
        <w:bidi w:val="0"/>
        <w:snapToGrid/>
        <w:spacing w:line="360" w:lineRule="exact"/>
        <w:ind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EPC下浮率招标结算按财评后下浮，未实现事前控制，如何解决？</w:t>
      </w:r>
    </w:p>
    <w:p w14:paraId="2C1CC8E2">
      <w:pPr>
        <w:pStyle w:val="8"/>
        <w:keepNext w:val="0"/>
        <w:keepLines w:val="0"/>
        <w:pageBreakBefore w:val="0"/>
        <w:numPr>
          <w:ilvl w:val="0"/>
          <w:numId w:val="9"/>
        </w:numPr>
        <w:kinsoku/>
        <w:wordWrap/>
        <w:overflowPunct/>
        <w:topLinePunct w:val="0"/>
        <w:bidi w:val="0"/>
        <w:snapToGrid/>
        <w:spacing w:line="360" w:lineRule="exact"/>
        <w:ind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EPC项目中标签约后是否必须财政评审？</w:t>
      </w:r>
    </w:p>
    <w:p w14:paraId="6B0C2516">
      <w:pPr>
        <w:pStyle w:val="8"/>
        <w:keepNext w:val="0"/>
        <w:keepLines w:val="0"/>
        <w:pageBreakBefore w:val="0"/>
        <w:numPr>
          <w:ilvl w:val="0"/>
          <w:numId w:val="9"/>
        </w:numPr>
        <w:kinsoku/>
        <w:wordWrap/>
        <w:overflowPunct/>
        <w:topLinePunct w:val="0"/>
        <w:bidi w:val="0"/>
        <w:snapToGrid/>
        <w:spacing w:line="360" w:lineRule="exact"/>
        <w:ind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EPC模拟清单中标价与财评按定额计取的预算单价不一致，如何处理？</w:t>
      </w:r>
    </w:p>
    <w:p w14:paraId="57CA8A96">
      <w:pPr>
        <w:pStyle w:val="8"/>
        <w:keepNext w:val="0"/>
        <w:keepLines w:val="0"/>
        <w:pageBreakBefore w:val="0"/>
        <w:numPr>
          <w:ilvl w:val="0"/>
          <w:numId w:val="9"/>
        </w:numPr>
        <w:kinsoku/>
        <w:wordWrap/>
        <w:overflowPunct/>
        <w:topLinePunct w:val="0"/>
        <w:bidi w:val="0"/>
        <w:snapToGrid/>
        <w:spacing w:line="360" w:lineRule="exact"/>
        <w:ind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EPC结算原则为概算下浮，但原概算有缺漏项，总包如何争取？</w:t>
      </w:r>
    </w:p>
    <w:p w14:paraId="2DBF411C">
      <w:pPr>
        <w:pStyle w:val="8"/>
        <w:keepNext w:val="0"/>
        <w:keepLines w:val="0"/>
        <w:pageBreakBefore w:val="0"/>
        <w:numPr>
          <w:ilvl w:val="0"/>
          <w:numId w:val="9"/>
        </w:numPr>
        <w:kinsoku/>
        <w:wordWrap/>
        <w:overflowPunct/>
        <w:topLinePunct w:val="0"/>
        <w:bidi w:val="0"/>
        <w:snapToGrid/>
        <w:spacing w:line="360" w:lineRule="exact"/>
        <w:ind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业主延迟开工是否改变基期价格调整合同价款？</w:t>
      </w:r>
    </w:p>
    <w:p w14:paraId="1DD363AB">
      <w:pPr>
        <w:pStyle w:val="8"/>
        <w:keepNext w:val="0"/>
        <w:keepLines w:val="0"/>
        <w:pageBreakBefore w:val="0"/>
        <w:numPr>
          <w:ilvl w:val="0"/>
          <w:numId w:val="9"/>
        </w:numPr>
        <w:kinsoku/>
        <w:wordWrap/>
        <w:overflowPunct/>
        <w:topLinePunct w:val="0"/>
        <w:bidi w:val="0"/>
        <w:snapToGrid/>
        <w:spacing w:line="360" w:lineRule="exact"/>
        <w:ind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EPC项目业主要求材料用大品牌但不办认价手续，乙方按要求材料送样，业主监理签字确认，后财评按财政局发布的价格审核价格争议大，如何处理？</w:t>
      </w:r>
    </w:p>
    <w:p w14:paraId="5ED5F90C">
      <w:pPr>
        <w:pStyle w:val="8"/>
        <w:keepNext w:val="0"/>
        <w:keepLines w:val="0"/>
        <w:pageBreakBefore w:val="0"/>
        <w:numPr>
          <w:ilvl w:val="0"/>
          <w:numId w:val="9"/>
        </w:numPr>
        <w:kinsoku/>
        <w:wordWrap/>
        <w:overflowPunct/>
        <w:topLinePunct w:val="0"/>
        <w:bidi w:val="0"/>
        <w:snapToGrid/>
        <w:spacing w:line="360" w:lineRule="exact"/>
        <w:ind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EPC项目财评要求，中标结果公示期后三个月内提交施工图预算进行评审，若超过时间，财政部门不予评审，是否合理？</w:t>
      </w:r>
    </w:p>
    <w:p w14:paraId="1944CD53">
      <w:pPr>
        <w:pStyle w:val="8"/>
        <w:keepNext w:val="0"/>
        <w:keepLines w:val="0"/>
        <w:pageBreakBefore w:val="0"/>
        <w:numPr>
          <w:ilvl w:val="0"/>
          <w:numId w:val="9"/>
        </w:numPr>
        <w:kinsoku/>
        <w:wordWrap/>
        <w:overflowPunct/>
        <w:topLinePunct w:val="0"/>
        <w:bidi w:val="0"/>
        <w:snapToGrid/>
        <w:spacing w:line="360" w:lineRule="exact"/>
        <w:ind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EPC项目采用建安费总价定额下浮，安全文明施工费、规费为不可竞争费，不参与下浮。可单独按不下浮费用计取，或在限额总价模式下超原定总价计取此部分费用，如何处理？</w:t>
      </w:r>
    </w:p>
    <w:p w14:paraId="73F08724">
      <w:pPr>
        <w:pStyle w:val="8"/>
        <w:keepNext w:val="0"/>
        <w:keepLines w:val="0"/>
        <w:pageBreakBefore w:val="0"/>
        <w:widowControl/>
        <w:kinsoku/>
        <w:wordWrap/>
        <w:overflowPunct/>
        <w:topLinePunct w:val="0"/>
        <w:autoSpaceDE w:val="0"/>
        <w:autoSpaceDN w:val="0"/>
        <w:bidi w:val="0"/>
        <w:adjustRightInd w:val="0"/>
        <w:snapToGrid/>
        <w:spacing w:line="360" w:lineRule="exact"/>
        <w:ind w:firstLine="0" w:firstLineChars="0"/>
        <w:jc w:val="left"/>
        <w:textAlignment w:val="auto"/>
        <w:rPr>
          <w:rFonts w:hint="eastAsia" w:ascii="仿宋" w:hAnsi="仿宋" w:eastAsia="仿宋" w:cs="仿宋"/>
          <w:b/>
          <w:bCs/>
          <w:sz w:val="24"/>
          <w:szCs w:val="24"/>
        </w:rPr>
      </w:pPr>
      <w:r>
        <w:rPr>
          <w:rFonts w:hint="eastAsia" w:ascii="仿宋" w:hAnsi="仿宋" w:eastAsia="仿宋" w:cs="仿宋"/>
          <w:b/>
          <w:bCs/>
          <w:sz w:val="24"/>
          <w:szCs w:val="24"/>
        </w:rPr>
        <w:t>（九）EPC项目审计疑难问题</w:t>
      </w:r>
    </w:p>
    <w:p w14:paraId="156236AE">
      <w:pPr>
        <w:pStyle w:val="8"/>
        <w:keepNext w:val="0"/>
        <w:keepLines w:val="0"/>
        <w:pageBreakBefore w:val="0"/>
        <w:numPr>
          <w:ilvl w:val="0"/>
          <w:numId w:val="10"/>
        </w:numPr>
        <w:kinsoku/>
        <w:wordWrap/>
        <w:overflowPunct/>
        <w:topLinePunct w:val="0"/>
        <w:bidi w:val="0"/>
        <w:snapToGrid/>
        <w:spacing w:line="360" w:lineRule="exact"/>
        <w:ind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EPC总价合同，竣工结算实际工程量小于合同总价，有什么依据按照原合同价结算？</w:t>
      </w:r>
    </w:p>
    <w:p w14:paraId="3851E730">
      <w:pPr>
        <w:pStyle w:val="8"/>
        <w:keepNext w:val="0"/>
        <w:keepLines w:val="0"/>
        <w:pageBreakBefore w:val="0"/>
        <w:numPr>
          <w:ilvl w:val="0"/>
          <w:numId w:val="10"/>
        </w:numPr>
        <w:kinsoku/>
        <w:wordWrap/>
        <w:overflowPunct/>
        <w:topLinePunct w:val="0"/>
        <w:bidi w:val="0"/>
        <w:snapToGrid/>
        <w:spacing w:line="360" w:lineRule="exact"/>
        <w:ind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EPC项目实际工程量与施工图工程量不一致能否核增或核减？</w:t>
      </w:r>
    </w:p>
    <w:p w14:paraId="5A16DEFE">
      <w:pPr>
        <w:pStyle w:val="8"/>
        <w:keepNext w:val="0"/>
        <w:keepLines w:val="0"/>
        <w:pageBreakBefore w:val="0"/>
        <w:numPr>
          <w:ilvl w:val="0"/>
          <w:numId w:val="10"/>
        </w:numPr>
        <w:kinsoku/>
        <w:wordWrap/>
        <w:overflowPunct/>
        <w:topLinePunct w:val="0"/>
        <w:bidi w:val="0"/>
        <w:snapToGrid/>
        <w:spacing w:line="360" w:lineRule="exact"/>
        <w:ind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EPC项目没有报预算，是按照经审定的施工图审核单价，还是按照竣工图+实际现场完成的工程量审核单价？</w:t>
      </w:r>
    </w:p>
    <w:p w14:paraId="1DF3AA44">
      <w:pPr>
        <w:pStyle w:val="8"/>
        <w:keepNext w:val="0"/>
        <w:keepLines w:val="0"/>
        <w:pageBreakBefore w:val="0"/>
        <w:numPr>
          <w:ilvl w:val="0"/>
          <w:numId w:val="10"/>
        </w:numPr>
        <w:kinsoku/>
        <w:wordWrap/>
        <w:overflowPunct/>
        <w:topLinePunct w:val="0"/>
        <w:bidi w:val="0"/>
        <w:snapToGrid/>
        <w:spacing w:line="360" w:lineRule="exact"/>
        <w:ind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EPC项目施工方案能否作为计量依据（如二次结构深化）？</w:t>
      </w:r>
    </w:p>
    <w:p w14:paraId="2C12A0E2">
      <w:pPr>
        <w:pStyle w:val="8"/>
        <w:keepNext w:val="0"/>
        <w:keepLines w:val="0"/>
        <w:pageBreakBefore w:val="0"/>
        <w:numPr>
          <w:ilvl w:val="0"/>
          <w:numId w:val="10"/>
        </w:numPr>
        <w:kinsoku/>
        <w:wordWrap/>
        <w:overflowPunct/>
        <w:topLinePunct w:val="0"/>
        <w:bidi w:val="0"/>
        <w:snapToGrid/>
        <w:spacing w:line="360" w:lineRule="exact"/>
        <w:ind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EPC合同条款约定勘察风险由总包承担，但实际勘察结果导致重大设计变更，如何处理？</w:t>
      </w:r>
    </w:p>
    <w:p w14:paraId="796ABFF4">
      <w:pPr>
        <w:pStyle w:val="8"/>
        <w:keepNext w:val="0"/>
        <w:keepLines w:val="0"/>
        <w:pageBreakBefore w:val="0"/>
        <w:numPr>
          <w:ilvl w:val="0"/>
          <w:numId w:val="10"/>
        </w:numPr>
        <w:kinsoku/>
        <w:wordWrap/>
        <w:overflowPunct/>
        <w:topLinePunct w:val="0"/>
        <w:bidi w:val="0"/>
        <w:snapToGrid/>
        <w:spacing w:line="360" w:lineRule="exact"/>
        <w:ind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设计不合理造成拆改，费用转扣设计院比例如何协商？</w:t>
      </w:r>
    </w:p>
    <w:p w14:paraId="33392363">
      <w:pPr>
        <w:pStyle w:val="8"/>
        <w:keepNext w:val="0"/>
        <w:keepLines w:val="0"/>
        <w:pageBreakBefore w:val="0"/>
        <w:numPr>
          <w:ilvl w:val="0"/>
          <w:numId w:val="10"/>
        </w:numPr>
        <w:kinsoku/>
        <w:wordWrap/>
        <w:overflowPunct/>
        <w:topLinePunct w:val="0"/>
        <w:bidi w:val="0"/>
        <w:snapToGrid/>
        <w:spacing w:line="360" w:lineRule="exact"/>
        <w:ind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EPC可研招标后施工图与合同设定条件差异大，甲方扣费与乙方反对如何解决？</w:t>
      </w:r>
    </w:p>
    <w:p w14:paraId="0CBC34F5">
      <w:pPr>
        <w:pStyle w:val="8"/>
        <w:keepNext w:val="0"/>
        <w:keepLines w:val="0"/>
        <w:pageBreakBefore w:val="0"/>
        <w:numPr>
          <w:ilvl w:val="0"/>
          <w:numId w:val="10"/>
        </w:numPr>
        <w:kinsoku/>
        <w:wordWrap/>
        <w:overflowPunct/>
        <w:topLinePunct w:val="0"/>
        <w:bidi w:val="0"/>
        <w:snapToGrid/>
        <w:spacing w:line="360" w:lineRule="exact"/>
        <w:ind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EPC总价合同约定材料调价导致施工预算超发改委批复概算，概算是否可调？</w:t>
      </w:r>
    </w:p>
    <w:p w14:paraId="66FBE983">
      <w:pPr>
        <w:pStyle w:val="8"/>
        <w:keepNext w:val="0"/>
        <w:keepLines w:val="0"/>
        <w:pageBreakBefore w:val="0"/>
        <w:numPr>
          <w:ilvl w:val="0"/>
          <w:numId w:val="10"/>
        </w:numPr>
        <w:kinsoku/>
        <w:wordWrap/>
        <w:overflowPunct/>
        <w:topLinePunct w:val="0"/>
        <w:bidi w:val="0"/>
        <w:snapToGrid/>
        <w:spacing w:line="360" w:lineRule="exact"/>
        <w:ind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EPC项目审计方要求施工图量增加，价款不变，施工图量减少要扣减，是否合理？</w:t>
      </w:r>
    </w:p>
    <w:p w14:paraId="797ADBDD">
      <w:pPr>
        <w:pStyle w:val="8"/>
        <w:keepNext w:val="0"/>
        <w:keepLines w:val="0"/>
        <w:pageBreakBefore w:val="0"/>
        <w:numPr>
          <w:ilvl w:val="0"/>
          <w:numId w:val="10"/>
        </w:numPr>
        <w:kinsoku/>
        <w:wordWrap/>
        <w:overflowPunct/>
        <w:topLinePunct w:val="0"/>
        <w:bidi w:val="0"/>
        <w:snapToGrid/>
        <w:spacing w:line="360" w:lineRule="exact"/>
        <w:ind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EPC项目审计要求施工图预算与结算差距大，而审计人员偏向小结算，能否提出异议并协商解决？</w:t>
      </w:r>
    </w:p>
    <w:p w14:paraId="20782D2E">
      <w:pPr>
        <w:pStyle w:val="8"/>
        <w:keepNext w:val="0"/>
        <w:keepLines w:val="0"/>
        <w:pageBreakBefore w:val="0"/>
        <w:numPr>
          <w:ilvl w:val="0"/>
          <w:numId w:val="10"/>
        </w:numPr>
        <w:kinsoku/>
        <w:wordWrap/>
        <w:overflowPunct/>
        <w:topLinePunct w:val="0"/>
        <w:bidi w:val="0"/>
        <w:snapToGrid/>
        <w:spacing w:line="360" w:lineRule="exact"/>
        <w:ind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EPC项目定额计价预转固时，无价材料单价可通过审计询价、第三方询价等方式确定。若价格有差异，如何与业主协商采用合理价格，确保双方利益？</w:t>
      </w:r>
    </w:p>
    <w:p w14:paraId="2A4093A3">
      <w:pPr>
        <w:pStyle w:val="8"/>
        <w:keepNext w:val="0"/>
        <w:keepLines w:val="0"/>
        <w:pageBreakBefore w:val="0"/>
        <w:numPr>
          <w:ilvl w:val="0"/>
          <w:numId w:val="10"/>
        </w:numPr>
        <w:kinsoku/>
        <w:wordWrap/>
        <w:overflowPunct/>
        <w:topLinePunct w:val="0"/>
        <w:bidi w:val="0"/>
        <w:snapToGrid/>
        <w:spacing w:line="360" w:lineRule="exact"/>
        <w:ind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EPC项目施工图预算超过了原控制价，甲方要求乙方提供一个不违背合同但又能把超出的部分付给乙方的合理方案，如何处理？</w:t>
      </w:r>
    </w:p>
    <w:p w14:paraId="7C96A9AE">
      <w:pPr>
        <w:keepNext w:val="0"/>
        <w:keepLines w:val="0"/>
        <w:pageBreakBefore w:val="0"/>
        <w:kinsoku/>
        <w:wordWrap/>
        <w:overflowPunct/>
        <w:topLinePunct w:val="0"/>
        <w:bidi w:val="0"/>
        <w:snapToGrid/>
        <w:spacing w:line="360" w:lineRule="exact"/>
        <w:textAlignment w:val="auto"/>
        <w:rPr>
          <w:rFonts w:hint="eastAsia" w:ascii="仿宋" w:hAnsi="仿宋" w:eastAsia="仿宋" w:cs="仿宋"/>
          <w:b/>
          <w:bCs/>
          <w:sz w:val="24"/>
          <w:szCs w:val="24"/>
        </w:rPr>
      </w:pPr>
      <w:r>
        <w:rPr>
          <w:rFonts w:hint="eastAsia" w:ascii="仿宋" w:hAnsi="仿宋" w:eastAsia="仿宋" w:cs="仿宋"/>
          <w:b/>
          <w:bCs/>
          <w:sz w:val="24"/>
          <w:szCs w:val="24"/>
        </w:rPr>
        <w:t>二、培训对象</w:t>
      </w:r>
    </w:p>
    <w:p w14:paraId="3B73C1F4">
      <w:pPr>
        <w:keepNext w:val="0"/>
        <w:keepLines w:val="0"/>
        <w:pageBreakBefore w:val="0"/>
        <w:kinsoku/>
        <w:wordWrap/>
        <w:overflowPunct/>
        <w:topLinePunct w:val="0"/>
        <w:bidi w:val="0"/>
        <w:snapToGrid/>
        <w:spacing w:line="3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各地政府建设项目监管部门、工程交易中心、投资项目评审中心；各业主单位从事项目管理、合同管理、工程项目建设、开发、审计等相关部门人员；各建筑施工企业、工程公司、总承包公司、设计院、成套设备公司、国际招标公司、设备材料供应商、律师事务所及各公司的总经理、副总经理、部门经理、项目经理、市场开发、法务专员等相关部门负责人、参与EPC项目管理的所有管理者。</w:t>
      </w:r>
    </w:p>
    <w:p w14:paraId="5B221251">
      <w:pPr>
        <w:numPr>
          <w:ilvl w:val="0"/>
          <w:numId w:val="0"/>
        </w:numPr>
        <w:spacing w:line="360" w:lineRule="auto"/>
        <w:rPr>
          <w:rFonts w:hint="eastAsia" w:ascii="仿宋" w:hAnsi="仿宋" w:eastAsia="仿宋" w:cs="仿宋"/>
          <w:b/>
          <w:bCs/>
          <w:sz w:val="24"/>
        </w:rPr>
      </w:pPr>
      <w:r>
        <w:rPr>
          <w:rFonts w:hint="eastAsia" w:ascii="仿宋" w:hAnsi="仿宋" w:eastAsia="仿宋" w:cs="仿宋"/>
          <w:b/>
          <w:bCs/>
          <w:sz w:val="24"/>
          <w:lang w:val="en-US" w:eastAsia="zh-CN"/>
        </w:rPr>
        <w:t>三、</w:t>
      </w:r>
      <w:r>
        <w:rPr>
          <w:rFonts w:hint="eastAsia" w:ascii="仿宋" w:hAnsi="仿宋" w:eastAsia="仿宋" w:cs="仿宋"/>
          <w:b/>
          <w:bCs/>
          <w:sz w:val="24"/>
        </w:rPr>
        <w:t>时间、地点</w:t>
      </w:r>
    </w:p>
    <w:p w14:paraId="181773B3">
      <w:pPr>
        <w:pStyle w:val="3"/>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仿宋" w:hAnsi="仿宋" w:eastAsia="仿宋" w:cs="仿宋"/>
          <w:sz w:val="24"/>
          <w:lang w:val="en-US" w:eastAsia="zh-CN"/>
        </w:rPr>
      </w:pPr>
      <w:r>
        <w:rPr>
          <w:rFonts w:hint="eastAsia" w:ascii="仿宋" w:hAnsi="仿宋" w:eastAsia="仿宋" w:cs="仿宋"/>
          <w:sz w:val="24"/>
          <w:lang w:val="en-US" w:eastAsia="zh-CN"/>
        </w:rPr>
        <w:t>2025年09月18日-09月20日 （18日全天报到）   南京市</w:t>
      </w:r>
    </w:p>
    <w:p w14:paraId="01B42C90">
      <w:pPr>
        <w:pStyle w:val="3"/>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仿宋" w:hAnsi="仿宋" w:eastAsia="仿宋" w:cs="仿宋"/>
          <w:sz w:val="24"/>
          <w:lang w:val="en-US" w:eastAsia="zh-CN"/>
        </w:rPr>
      </w:pPr>
      <w:r>
        <w:rPr>
          <w:rFonts w:hint="eastAsia" w:ascii="仿宋" w:hAnsi="仿宋" w:eastAsia="仿宋" w:cs="仿宋"/>
          <w:sz w:val="24"/>
          <w:lang w:val="en-US" w:eastAsia="zh-CN"/>
        </w:rPr>
        <w:t>2025年10月16日-10月18日 （16日全天报到）   长沙市</w:t>
      </w:r>
    </w:p>
    <w:p w14:paraId="7FBC4672">
      <w:pPr>
        <w:numPr>
          <w:ilvl w:val="0"/>
          <w:numId w:val="0"/>
        </w:numPr>
        <w:spacing w:line="360" w:lineRule="auto"/>
        <w:rPr>
          <w:rFonts w:hint="eastAsia" w:ascii="仿宋" w:hAnsi="仿宋" w:eastAsia="仿宋" w:cs="仿宋"/>
          <w:b/>
          <w:bCs/>
          <w:sz w:val="24"/>
        </w:rPr>
      </w:pPr>
      <w:r>
        <w:rPr>
          <w:rFonts w:hint="eastAsia" w:ascii="仿宋" w:hAnsi="仿宋" w:eastAsia="仿宋" w:cs="仿宋"/>
          <w:b/>
          <w:bCs/>
          <w:kern w:val="2"/>
          <w:sz w:val="24"/>
          <w:szCs w:val="24"/>
          <w:lang w:val="en-US" w:eastAsia="zh-CN" w:bidi="ar-SA"/>
        </w:rPr>
        <w:t>四、</w:t>
      </w:r>
      <w:r>
        <w:rPr>
          <w:rFonts w:hint="eastAsia" w:ascii="仿宋" w:hAnsi="仿宋" w:eastAsia="仿宋" w:cs="仿宋"/>
          <w:b/>
          <w:bCs/>
          <w:sz w:val="24"/>
        </w:rPr>
        <w:t>相关费用</w:t>
      </w:r>
    </w:p>
    <w:p w14:paraId="06F0169F">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A.3280元/人（含专家费、资料费、电子课件、场地、会议期间午餐），住宿统一安排，费用自理。</w:t>
      </w:r>
    </w:p>
    <w:p w14:paraId="682CE2D6">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B.5680元/人（含全过程工程咨询师(高级、中级)证书及网上学习3天专业课程、资料费、电子课件、会议期间午餐），住宿统一安排，费用自理。</w:t>
      </w:r>
    </w:p>
    <w:p w14:paraId="37241135">
      <w:pPr>
        <w:spacing w:line="360" w:lineRule="auto"/>
        <w:ind w:firstLine="480" w:firstLineChars="200"/>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C.50000元/单位，本课程培训期内30人次参加，可分批参加，并赠送全过程工程咨询师证书2本。（具体培训时间由主办方规定）</w:t>
      </w:r>
    </w:p>
    <w:p w14:paraId="1A476E18">
      <w:pPr>
        <w:numPr>
          <w:ilvl w:val="0"/>
          <w:numId w:val="11"/>
        </w:numPr>
        <w:spacing w:line="360" w:lineRule="auto"/>
        <w:ind w:firstLine="480" w:firstLineChars="200"/>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以上内容线上培训费用：19800元一个企业学习账号，单位投屏播放，统一观看。</w:t>
      </w:r>
    </w:p>
    <w:p w14:paraId="50E7C658">
      <w:pPr>
        <w:numPr>
          <w:ilvl w:val="0"/>
          <w:numId w:val="11"/>
        </w:num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4800元/人（含全过程工程咨询师(高级、中级)证书及网上学习3天课程）。</w:t>
      </w:r>
    </w:p>
    <w:p w14:paraId="376C10FB">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备注：申报证书需提供报名表一份、2寸照电子照片（蓝底免冠彩照）、身份证复印件一份、学历证书复印件一份，在职单位证明（原件）一份，审核通过后出准考证，每个月最后一个周末为网上考试时间。</w:t>
      </w:r>
    </w:p>
    <w:p w14:paraId="46D6F10B">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颁证机构：</w:t>
      </w:r>
    </w:p>
    <w:p w14:paraId="5872FFF3">
      <w:pPr>
        <w:spacing w:line="360" w:lineRule="auto"/>
        <w:ind w:firstLine="480" w:firstLineChars="200"/>
        <w:rPr>
          <w:rFonts w:hint="eastAsia" w:ascii="仿宋" w:hAnsi="仿宋" w:eastAsia="仿宋" w:cs="仿宋"/>
          <w:sz w:val="24"/>
        </w:rPr>
      </w:pPr>
      <w:r>
        <w:rPr>
          <w:rFonts w:hint="eastAsia" w:ascii="仿宋" w:hAnsi="仿宋" w:eastAsia="仿宋" w:cs="仿宋"/>
          <w:kern w:val="0"/>
          <w:sz w:val="24"/>
        </w:rPr>
        <w:t>国家职业资格培训鉴定实验基地（http://www.nptb.org/）是人力资源和社会保障部在天津建立的综合性职业标准开发机构，主要承担国家新职业标准研发和推广任务，开展培训鉴定实验项目和课题研究，进行新职业教材和课程设计，建立新职业考核标准、考试题库。</w:t>
      </w:r>
    </w:p>
    <w:p w14:paraId="793FCB02">
      <w:pPr>
        <w:spacing w:line="360" w:lineRule="auto"/>
        <w:rPr>
          <w:rFonts w:hint="eastAsia" w:ascii="仿宋" w:hAnsi="仿宋" w:eastAsia="仿宋" w:cs="仿宋"/>
          <w:b/>
          <w:bCs/>
          <w:sz w:val="24"/>
        </w:rPr>
      </w:pPr>
      <w:r>
        <w:rPr>
          <w:rFonts w:hint="eastAsia" w:ascii="仿宋" w:hAnsi="仿宋" w:eastAsia="仿宋" w:cs="仿宋"/>
          <w:kern w:val="0"/>
          <w:sz w:val="24"/>
        </w:rPr>
        <w:drawing>
          <wp:anchor distT="0" distB="0" distL="114300" distR="114300" simplePos="0" relativeHeight="251660288" behindDoc="1" locked="0" layoutInCell="1" allowOverlap="1">
            <wp:simplePos x="0" y="0"/>
            <wp:positionH relativeFrom="column">
              <wp:posOffset>3803650</wp:posOffset>
            </wp:positionH>
            <wp:positionV relativeFrom="paragraph">
              <wp:posOffset>276225</wp:posOffset>
            </wp:positionV>
            <wp:extent cx="2679700" cy="1905000"/>
            <wp:effectExtent l="0" t="0" r="0" b="0"/>
            <wp:wrapNone/>
            <wp:docPr id="2" name="图片 2" descr="建术公章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建术公章12"/>
                    <pic:cNvPicPr>
                      <a:picLocks noChangeAspect="1"/>
                    </pic:cNvPicPr>
                  </pic:nvPicPr>
                  <pic:blipFill>
                    <a:blip r:embed="rId4"/>
                    <a:stretch>
                      <a:fillRect/>
                    </a:stretch>
                  </pic:blipFill>
                  <pic:spPr>
                    <a:xfrm>
                      <a:off x="0" y="0"/>
                      <a:ext cx="2679700" cy="1905000"/>
                    </a:xfrm>
                    <a:prstGeom prst="rect">
                      <a:avLst/>
                    </a:prstGeom>
                    <a:noFill/>
                    <a:ln>
                      <a:noFill/>
                    </a:ln>
                  </pic:spPr>
                </pic:pic>
              </a:graphicData>
            </a:graphic>
          </wp:anchor>
        </w:drawing>
      </w:r>
      <w:r>
        <w:rPr>
          <w:rFonts w:hint="eastAsia" w:ascii="仿宋" w:hAnsi="仿宋" w:eastAsia="仿宋" w:cs="仿宋"/>
          <w:b/>
          <w:bCs/>
          <w:sz w:val="24"/>
          <w:lang w:val="en-US" w:eastAsia="zh-CN"/>
        </w:rPr>
        <w:t>五</w:t>
      </w:r>
      <w:r>
        <w:rPr>
          <w:rFonts w:hint="eastAsia" w:ascii="仿宋" w:hAnsi="仿宋" w:eastAsia="仿宋" w:cs="仿宋"/>
          <w:b/>
          <w:bCs/>
          <w:sz w:val="24"/>
        </w:rPr>
        <w:t>、联系方式</w:t>
      </w:r>
    </w:p>
    <w:p w14:paraId="6F8DD699">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报名负责人：聂红军 主任18211071700（微信）   </w:t>
      </w:r>
    </w:p>
    <w:p w14:paraId="60429DEC">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电    话：13141289128        邮    箱：zqgphwz@126.com  </w:t>
      </w:r>
    </w:p>
    <w:p w14:paraId="3F865500">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qq咨询：3177524020          网    址：http://www.zqgpchina.cn</w:t>
      </w:r>
    </w:p>
    <w:p w14:paraId="7A65439D">
      <w:pPr>
        <w:ind w:firstLine="480" w:firstLineChars="200"/>
        <w:rPr>
          <w:rFonts w:hint="eastAsia" w:ascii="仿宋" w:hAnsi="仿宋" w:eastAsia="仿宋" w:cs="仿宋"/>
          <w:kern w:val="0"/>
          <w:sz w:val="24"/>
        </w:rPr>
      </w:pPr>
    </w:p>
    <w:p w14:paraId="13D43ED1">
      <w:pPr>
        <w:ind w:firstLine="480" w:firstLineChars="200"/>
        <w:rPr>
          <w:rFonts w:hint="eastAsia" w:ascii="仿宋" w:hAnsi="仿宋" w:eastAsia="仿宋" w:cs="仿宋"/>
          <w:kern w:val="0"/>
          <w:sz w:val="24"/>
        </w:rPr>
      </w:pPr>
      <w:r>
        <w:rPr>
          <w:sz w:val="24"/>
        </w:rPr>
        <mc:AlternateContent>
          <mc:Choice Requires="wps">
            <w:drawing>
              <wp:anchor distT="0" distB="0" distL="114300" distR="114300" simplePos="0" relativeHeight="251661312" behindDoc="1" locked="0" layoutInCell="1" allowOverlap="1">
                <wp:simplePos x="0" y="0"/>
                <wp:positionH relativeFrom="column">
                  <wp:posOffset>3795395</wp:posOffset>
                </wp:positionH>
                <wp:positionV relativeFrom="paragraph">
                  <wp:posOffset>23495</wp:posOffset>
                </wp:positionV>
                <wp:extent cx="2590800" cy="692150"/>
                <wp:effectExtent l="0" t="0" r="0" b="0"/>
                <wp:wrapNone/>
                <wp:docPr id="3" name="文本框 3"/>
                <wp:cNvGraphicFramePr/>
                <a:graphic xmlns:a="http://schemas.openxmlformats.org/drawingml/2006/main">
                  <a:graphicData uri="http://schemas.microsoft.com/office/word/2010/wordprocessingShape">
                    <wps:wsp>
                      <wps:cNvSpPr txBox="1"/>
                      <wps:spPr>
                        <a:xfrm>
                          <a:off x="4554855" y="9659620"/>
                          <a:ext cx="2590800" cy="6921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F6577D">
                            <w:pPr>
                              <w:jc w:val="center"/>
                              <w:rPr>
                                <w:rFonts w:hint="eastAsia" w:ascii="仿宋" w:hAnsi="仿宋" w:eastAsia="仿宋" w:cs="仿宋"/>
                                <w:kern w:val="0"/>
                                <w:sz w:val="24"/>
                              </w:rPr>
                            </w:pPr>
                            <w:r>
                              <w:rPr>
                                <w:rFonts w:hint="eastAsia" w:ascii="仿宋" w:hAnsi="仿宋" w:eastAsia="仿宋" w:cs="仿宋"/>
                                <w:kern w:val="0"/>
                                <w:sz w:val="24"/>
                              </w:rPr>
                              <w:t>北京建术信息科技研究院有限公司                                              202</w:t>
                            </w:r>
                            <w:r>
                              <w:rPr>
                                <w:rFonts w:hint="eastAsia" w:ascii="仿宋" w:hAnsi="仿宋" w:eastAsia="仿宋" w:cs="仿宋"/>
                                <w:kern w:val="0"/>
                                <w:sz w:val="24"/>
                                <w:lang w:val="en-US" w:eastAsia="zh-CN"/>
                              </w:rPr>
                              <w:t>5</w:t>
                            </w:r>
                            <w:r>
                              <w:rPr>
                                <w:rFonts w:hint="eastAsia" w:ascii="仿宋" w:hAnsi="仿宋" w:eastAsia="仿宋" w:cs="仿宋"/>
                                <w:kern w:val="0"/>
                                <w:sz w:val="24"/>
                              </w:rPr>
                              <w:t>年</w:t>
                            </w:r>
                            <w:r>
                              <w:rPr>
                                <w:rFonts w:hint="eastAsia" w:ascii="仿宋" w:hAnsi="仿宋" w:eastAsia="仿宋" w:cs="仿宋"/>
                                <w:kern w:val="0"/>
                                <w:sz w:val="24"/>
                                <w:lang w:val="en-US" w:eastAsia="zh-CN"/>
                              </w:rPr>
                              <w:t>8</w:t>
                            </w:r>
                            <w:r>
                              <w:rPr>
                                <w:rFonts w:hint="eastAsia" w:ascii="仿宋" w:hAnsi="仿宋" w:eastAsia="仿宋" w:cs="仿宋"/>
                                <w:kern w:val="0"/>
                                <w:sz w:val="24"/>
                              </w:rPr>
                              <w:t>月</w:t>
                            </w:r>
                            <w:r>
                              <w:rPr>
                                <w:rFonts w:hint="eastAsia" w:ascii="仿宋" w:hAnsi="仿宋" w:eastAsia="仿宋" w:cs="仿宋"/>
                                <w:kern w:val="0"/>
                                <w:sz w:val="24"/>
                                <w:lang w:val="en-US" w:eastAsia="zh-CN"/>
                              </w:rPr>
                              <w:t>22</w:t>
                            </w:r>
                            <w:r>
                              <w:rPr>
                                <w:rFonts w:hint="eastAsia" w:ascii="仿宋" w:hAnsi="仿宋" w:eastAsia="仿宋" w:cs="仿宋"/>
                                <w:kern w:val="0"/>
                                <w:sz w:val="24"/>
                              </w:rPr>
                              <w:t>日</w:t>
                            </w:r>
                          </w:p>
                          <w:p w14:paraId="1E3BB4ED"/>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8.85pt;margin-top:1.85pt;height:54.5pt;width:204pt;z-index:-251655168;mso-width-relative:page;mso-height-relative:page;" filled="f" stroked="f" coordsize="21600,21600" o:gfxdata="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Bh0GyNoAAAAKAQAADwAAAAAAAAAB&#10;ACAAAAAiAAAAZHJzL2Rvd25yZXYueG1sUEsBAhQAFAAAAAgAh07iQGQ01YlHAgAAcgQAAA4AAAAA&#10;AAAAAQAgAAAAKQEAAGRycy9lMm9Eb2MueG1sUEsFBgAAAAAGAAYAWQEAAOIFAAAAAA==&#10;">
                <v:fill on="f" focussize="0,0"/>
                <v:stroke on="f" weight="0.5pt"/>
                <v:imagedata o:title=""/>
                <o:lock v:ext="edit" aspectratio="f"/>
                <v:textbox>
                  <w:txbxContent>
                    <w:p w14:paraId="1AF6577D">
                      <w:pPr>
                        <w:jc w:val="center"/>
                        <w:rPr>
                          <w:rFonts w:hint="eastAsia" w:ascii="仿宋" w:hAnsi="仿宋" w:eastAsia="仿宋" w:cs="仿宋"/>
                          <w:kern w:val="0"/>
                          <w:sz w:val="24"/>
                        </w:rPr>
                      </w:pPr>
                      <w:r>
                        <w:rPr>
                          <w:rFonts w:hint="eastAsia" w:ascii="仿宋" w:hAnsi="仿宋" w:eastAsia="仿宋" w:cs="仿宋"/>
                          <w:kern w:val="0"/>
                          <w:sz w:val="24"/>
                        </w:rPr>
                        <w:t>北京建术信息科技研究院有限公司                                              202</w:t>
                      </w:r>
                      <w:r>
                        <w:rPr>
                          <w:rFonts w:hint="eastAsia" w:ascii="仿宋" w:hAnsi="仿宋" w:eastAsia="仿宋" w:cs="仿宋"/>
                          <w:kern w:val="0"/>
                          <w:sz w:val="24"/>
                          <w:lang w:val="en-US" w:eastAsia="zh-CN"/>
                        </w:rPr>
                        <w:t>5</w:t>
                      </w:r>
                      <w:r>
                        <w:rPr>
                          <w:rFonts w:hint="eastAsia" w:ascii="仿宋" w:hAnsi="仿宋" w:eastAsia="仿宋" w:cs="仿宋"/>
                          <w:kern w:val="0"/>
                          <w:sz w:val="24"/>
                        </w:rPr>
                        <w:t>年</w:t>
                      </w:r>
                      <w:r>
                        <w:rPr>
                          <w:rFonts w:hint="eastAsia" w:ascii="仿宋" w:hAnsi="仿宋" w:eastAsia="仿宋" w:cs="仿宋"/>
                          <w:kern w:val="0"/>
                          <w:sz w:val="24"/>
                          <w:lang w:val="en-US" w:eastAsia="zh-CN"/>
                        </w:rPr>
                        <w:t>8</w:t>
                      </w:r>
                      <w:r>
                        <w:rPr>
                          <w:rFonts w:hint="eastAsia" w:ascii="仿宋" w:hAnsi="仿宋" w:eastAsia="仿宋" w:cs="仿宋"/>
                          <w:kern w:val="0"/>
                          <w:sz w:val="24"/>
                        </w:rPr>
                        <w:t>月</w:t>
                      </w:r>
                      <w:r>
                        <w:rPr>
                          <w:rFonts w:hint="eastAsia" w:ascii="仿宋" w:hAnsi="仿宋" w:eastAsia="仿宋" w:cs="仿宋"/>
                          <w:kern w:val="0"/>
                          <w:sz w:val="24"/>
                          <w:lang w:val="en-US" w:eastAsia="zh-CN"/>
                        </w:rPr>
                        <w:t>22</w:t>
                      </w:r>
                      <w:r>
                        <w:rPr>
                          <w:rFonts w:hint="eastAsia" w:ascii="仿宋" w:hAnsi="仿宋" w:eastAsia="仿宋" w:cs="仿宋"/>
                          <w:kern w:val="0"/>
                          <w:sz w:val="24"/>
                        </w:rPr>
                        <w:t>日</w:t>
                      </w:r>
                    </w:p>
                    <w:p w14:paraId="1E3BB4ED"/>
                  </w:txbxContent>
                </v:textbox>
              </v:shape>
            </w:pict>
          </mc:Fallback>
        </mc:AlternateContent>
      </w:r>
    </w:p>
    <w:p w14:paraId="14C6CB79">
      <w:pPr>
        <w:spacing w:line="400" w:lineRule="exact"/>
        <w:ind w:right="80" w:rightChars="38"/>
        <w:rPr>
          <w:rStyle w:val="6"/>
          <w:rFonts w:hint="eastAsia" w:ascii="仿宋" w:hAnsi="仿宋" w:eastAsia="仿宋" w:cs="仿宋"/>
          <w:color w:val="000000"/>
          <w:sz w:val="28"/>
          <w:szCs w:val="28"/>
        </w:rPr>
      </w:pPr>
    </w:p>
    <w:p w14:paraId="4582D703">
      <w:pPr>
        <w:rPr>
          <w:rFonts w:hint="eastAsia" w:ascii="仿宋" w:hAnsi="仿宋" w:eastAsia="仿宋" w:cs="仿宋"/>
        </w:rPr>
      </w:pPr>
    </w:p>
    <w:p w14:paraId="72E34AE6">
      <w:pPr>
        <w:spacing w:line="400" w:lineRule="exact"/>
        <w:ind w:right="80" w:rightChars="38"/>
        <w:rPr>
          <w:rStyle w:val="6"/>
          <w:rFonts w:hint="eastAsia" w:ascii="仿宋" w:hAnsi="仿宋" w:eastAsia="仿宋" w:cs="仿宋"/>
          <w:color w:val="000000"/>
          <w:sz w:val="28"/>
          <w:szCs w:val="28"/>
        </w:rPr>
      </w:pPr>
      <w:r>
        <w:rPr>
          <w:rStyle w:val="6"/>
          <w:rFonts w:hint="eastAsia" w:ascii="仿宋" w:hAnsi="仿宋" w:eastAsia="仿宋" w:cs="仿宋"/>
          <w:color w:val="000000"/>
          <w:sz w:val="28"/>
          <w:szCs w:val="28"/>
        </w:rPr>
        <w:t xml:space="preserve">附件2：                   </w:t>
      </w:r>
    </w:p>
    <w:p w14:paraId="1111EDE4">
      <w:pPr>
        <w:spacing w:line="400" w:lineRule="exact"/>
        <w:ind w:right="80" w:rightChars="38"/>
        <w:jc w:val="center"/>
        <w:rPr>
          <w:rFonts w:hint="eastAsia" w:ascii="仿宋" w:hAnsi="仿宋" w:eastAsia="仿宋" w:cs="仿宋"/>
          <w:color w:val="000000"/>
          <w:sz w:val="28"/>
          <w:szCs w:val="28"/>
        </w:rPr>
      </w:pPr>
      <w:r>
        <w:rPr>
          <w:rFonts w:hint="eastAsia" w:ascii="仿宋" w:hAnsi="仿宋" w:eastAsia="仿宋" w:cs="仿宋"/>
          <w:b/>
          <w:bCs/>
          <w:color w:val="auto"/>
          <w:sz w:val="28"/>
          <w:szCs w:val="28"/>
        </w:rPr>
        <w:t>EPC工程总承包全流程核心环节疑难问题解析与风险防控实务专题培训</w:t>
      </w:r>
      <w:r>
        <w:rPr>
          <w:rFonts w:hint="eastAsia" w:ascii="仿宋" w:hAnsi="仿宋" w:eastAsia="仿宋" w:cs="仿宋"/>
          <w:b/>
          <w:bCs/>
          <w:color w:val="auto"/>
          <w:sz w:val="28"/>
          <w:szCs w:val="28"/>
          <w:lang w:val="en-US" w:eastAsia="zh-CN"/>
        </w:rPr>
        <w:t>班</w:t>
      </w:r>
      <w:r>
        <w:rPr>
          <w:rFonts w:hint="eastAsia" w:ascii="仿宋" w:hAnsi="仿宋" w:eastAsia="仿宋" w:cs="仿宋"/>
          <w:b/>
          <w:bCs w:val="0"/>
          <w:color w:val="000000"/>
          <w:sz w:val="28"/>
          <w:szCs w:val="28"/>
        </w:rPr>
        <w:t>报名回执表</w:t>
      </w:r>
    </w:p>
    <w:tbl>
      <w:tblPr>
        <w:tblStyle w:val="4"/>
        <w:tblpPr w:leftFromText="180" w:rightFromText="180" w:vertAnchor="text" w:horzAnchor="page" w:tblpXSpec="center" w:tblpY="187"/>
        <w:tblOverlap w:val="never"/>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2"/>
        <w:gridCol w:w="935"/>
        <w:gridCol w:w="1208"/>
        <w:gridCol w:w="1417"/>
        <w:gridCol w:w="986"/>
        <w:gridCol w:w="996"/>
        <w:gridCol w:w="504"/>
        <w:gridCol w:w="948"/>
      </w:tblGrid>
      <w:tr w14:paraId="7ADB9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932" w:type="dxa"/>
            <w:noWrap/>
            <w:vAlign w:val="center"/>
          </w:tcPr>
          <w:p w14:paraId="1B921B3B">
            <w:pPr>
              <w:spacing w:line="360" w:lineRule="exact"/>
              <w:ind w:right="80" w:rightChars="38"/>
              <w:rPr>
                <w:rFonts w:hint="eastAsia" w:ascii="仿宋" w:hAnsi="仿宋" w:eastAsia="仿宋" w:cs="仿宋"/>
                <w:bCs/>
                <w:sz w:val="24"/>
              </w:rPr>
            </w:pPr>
            <w:r>
              <w:rPr>
                <w:rFonts w:hint="eastAsia" w:ascii="仿宋" w:hAnsi="仿宋" w:eastAsia="仿宋" w:cs="仿宋"/>
                <w:bCs/>
                <w:sz w:val="24"/>
              </w:rPr>
              <w:t>单位名称</w:t>
            </w:r>
          </w:p>
        </w:tc>
        <w:tc>
          <w:tcPr>
            <w:tcW w:w="4546" w:type="dxa"/>
            <w:gridSpan w:val="4"/>
            <w:noWrap/>
            <w:vAlign w:val="center"/>
          </w:tcPr>
          <w:p w14:paraId="792ABA81">
            <w:pPr>
              <w:spacing w:line="360" w:lineRule="exact"/>
              <w:ind w:right="80" w:rightChars="38"/>
              <w:rPr>
                <w:rFonts w:hint="eastAsia" w:ascii="仿宋" w:hAnsi="仿宋" w:eastAsia="仿宋" w:cs="仿宋"/>
                <w:bCs/>
                <w:sz w:val="24"/>
              </w:rPr>
            </w:pPr>
          </w:p>
        </w:tc>
        <w:tc>
          <w:tcPr>
            <w:tcW w:w="996" w:type="dxa"/>
            <w:noWrap/>
            <w:vAlign w:val="center"/>
          </w:tcPr>
          <w:p w14:paraId="0B6C9FD6">
            <w:pPr>
              <w:spacing w:line="360" w:lineRule="exact"/>
              <w:ind w:right="80" w:rightChars="38"/>
              <w:rPr>
                <w:rFonts w:hint="eastAsia" w:ascii="仿宋" w:hAnsi="仿宋" w:eastAsia="仿宋" w:cs="仿宋"/>
                <w:bCs/>
                <w:sz w:val="24"/>
              </w:rPr>
            </w:pPr>
            <w:r>
              <w:rPr>
                <w:rFonts w:hint="eastAsia" w:ascii="仿宋" w:hAnsi="仿宋" w:eastAsia="仿宋" w:cs="仿宋"/>
                <w:bCs/>
                <w:sz w:val="24"/>
              </w:rPr>
              <w:t>邮编</w:t>
            </w:r>
          </w:p>
        </w:tc>
        <w:tc>
          <w:tcPr>
            <w:tcW w:w="1452" w:type="dxa"/>
            <w:gridSpan w:val="2"/>
            <w:noWrap/>
            <w:vAlign w:val="center"/>
          </w:tcPr>
          <w:p w14:paraId="63E0C871">
            <w:pPr>
              <w:spacing w:line="360" w:lineRule="exact"/>
              <w:ind w:left="149" w:right="80" w:rightChars="38" w:hanging="148" w:hangingChars="62"/>
              <w:rPr>
                <w:rFonts w:hint="eastAsia" w:ascii="仿宋" w:hAnsi="仿宋" w:eastAsia="仿宋" w:cs="仿宋"/>
                <w:bCs/>
                <w:sz w:val="24"/>
              </w:rPr>
            </w:pPr>
          </w:p>
        </w:tc>
      </w:tr>
      <w:tr w14:paraId="5C1A5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932" w:type="dxa"/>
            <w:noWrap/>
            <w:vAlign w:val="center"/>
          </w:tcPr>
          <w:p w14:paraId="49B02B1F">
            <w:pPr>
              <w:spacing w:line="360" w:lineRule="exact"/>
              <w:ind w:right="80" w:rightChars="38"/>
              <w:rPr>
                <w:rFonts w:hint="eastAsia" w:ascii="仿宋" w:hAnsi="仿宋" w:eastAsia="仿宋" w:cs="仿宋"/>
                <w:bCs/>
                <w:sz w:val="24"/>
              </w:rPr>
            </w:pPr>
            <w:r>
              <w:rPr>
                <w:rFonts w:hint="eastAsia" w:ascii="仿宋" w:hAnsi="仿宋" w:eastAsia="仿宋" w:cs="仿宋"/>
                <w:bCs/>
                <w:sz w:val="24"/>
              </w:rPr>
              <w:t>详细地址</w:t>
            </w:r>
          </w:p>
        </w:tc>
        <w:tc>
          <w:tcPr>
            <w:tcW w:w="6994" w:type="dxa"/>
            <w:gridSpan w:val="7"/>
            <w:noWrap/>
            <w:vAlign w:val="center"/>
          </w:tcPr>
          <w:p w14:paraId="4307BAAA">
            <w:pPr>
              <w:spacing w:line="360" w:lineRule="exact"/>
              <w:ind w:right="80" w:rightChars="38"/>
              <w:rPr>
                <w:rFonts w:hint="eastAsia" w:ascii="仿宋" w:hAnsi="仿宋" w:eastAsia="仿宋" w:cs="仿宋"/>
                <w:bCs/>
                <w:sz w:val="24"/>
              </w:rPr>
            </w:pPr>
          </w:p>
        </w:tc>
      </w:tr>
      <w:tr w14:paraId="5D49B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932" w:type="dxa"/>
            <w:noWrap/>
            <w:vAlign w:val="center"/>
          </w:tcPr>
          <w:p w14:paraId="24CCAEF8">
            <w:pPr>
              <w:spacing w:line="360" w:lineRule="exact"/>
              <w:ind w:right="80" w:rightChars="38"/>
              <w:rPr>
                <w:rFonts w:hint="eastAsia" w:ascii="仿宋" w:hAnsi="仿宋" w:eastAsia="仿宋" w:cs="仿宋"/>
                <w:bCs/>
                <w:sz w:val="24"/>
              </w:rPr>
            </w:pPr>
            <w:r>
              <w:rPr>
                <w:rFonts w:hint="eastAsia" w:ascii="仿宋" w:hAnsi="仿宋" w:eastAsia="仿宋" w:cs="仿宋"/>
                <w:bCs/>
                <w:sz w:val="24"/>
              </w:rPr>
              <w:t>联系人</w:t>
            </w:r>
          </w:p>
        </w:tc>
        <w:tc>
          <w:tcPr>
            <w:tcW w:w="3560" w:type="dxa"/>
            <w:gridSpan w:val="3"/>
            <w:noWrap/>
            <w:vAlign w:val="center"/>
          </w:tcPr>
          <w:p w14:paraId="7DA7C55D">
            <w:pPr>
              <w:spacing w:line="360" w:lineRule="exact"/>
              <w:ind w:right="80" w:rightChars="38"/>
              <w:rPr>
                <w:rFonts w:hint="eastAsia" w:ascii="仿宋" w:hAnsi="仿宋" w:eastAsia="仿宋" w:cs="仿宋"/>
                <w:bCs/>
                <w:sz w:val="24"/>
              </w:rPr>
            </w:pPr>
          </w:p>
        </w:tc>
        <w:tc>
          <w:tcPr>
            <w:tcW w:w="1982" w:type="dxa"/>
            <w:gridSpan w:val="2"/>
            <w:noWrap/>
            <w:vAlign w:val="center"/>
          </w:tcPr>
          <w:p w14:paraId="492B446B">
            <w:pPr>
              <w:keepNext/>
              <w:spacing w:line="360" w:lineRule="exact"/>
              <w:ind w:right="80" w:rightChars="38"/>
              <w:outlineLvl w:val="0"/>
              <w:rPr>
                <w:rFonts w:hint="eastAsia" w:ascii="仿宋" w:hAnsi="仿宋" w:eastAsia="仿宋" w:cs="仿宋"/>
                <w:bCs/>
                <w:sz w:val="24"/>
              </w:rPr>
            </w:pPr>
            <w:r>
              <w:rPr>
                <w:rFonts w:hint="eastAsia" w:ascii="仿宋" w:hAnsi="仿宋" w:eastAsia="仿宋" w:cs="仿宋"/>
                <w:bCs/>
                <w:sz w:val="24"/>
              </w:rPr>
              <w:t>E-mail</w:t>
            </w:r>
          </w:p>
        </w:tc>
        <w:tc>
          <w:tcPr>
            <w:tcW w:w="1452" w:type="dxa"/>
            <w:gridSpan w:val="2"/>
            <w:noWrap/>
            <w:vAlign w:val="center"/>
          </w:tcPr>
          <w:p w14:paraId="1290549C">
            <w:pPr>
              <w:spacing w:line="360" w:lineRule="exact"/>
              <w:ind w:right="80" w:rightChars="38"/>
              <w:rPr>
                <w:rFonts w:hint="eastAsia" w:ascii="仿宋" w:hAnsi="仿宋" w:eastAsia="仿宋" w:cs="仿宋"/>
                <w:bCs/>
                <w:sz w:val="24"/>
              </w:rPr>
            </w:pPr>
          </w:p>
        </w:tc>
      </w:tr>
      <w:tr w14:paraId="42B34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932" w:type="dxa"/>
            <w:noWrap/>
            <w:vAlign w:val="center"/>
          </w:tcPr>
          <w:p w14:paraId="6B1628A7">
            <w:pPr>
              <w:spacing w:line="360" w:lineRule="exact"/>
              <w:ind w:right="80" w:rightChars="38"/>
              <w:rPr>
                <w:rFonts w:hint="eastAsia" w:ascii="仿宋" w:hAnsi="仿宋" w:eastAsia="仿宋" w:cs="仿宋"/>
                <w:bCs/>
                <w:sz w:val="24"/>
              </w:rPr>
            </w:pPr>
            <w:r>
              <w:rPr>
                <w:rFonts w:hint="eastAsia" w:ascii="仿宋" w:hAnsi="仿宋" w:eastAsia="仿宋" w:cs="仿宋"/>
                <w:bCs/>
                <w:sz w:val="24"/>
              </w:rPr>
              <w:t>电话（区号）</w:t>
            </w:r>
          </w:p>
        </w:tc>
        <w:tc>
          <w:tcPr>
            <w:tcW w:w="3560" w:type="dxa"/>
            <w:gridSpan w:val="3"/>
            <w:noWrap/>
            <w:vAlign w:val="center"/>
          </w:tcPr>
          <w:p w14:paraId="752DCA90">
            <w:pPr>
              <w:spacing w:line="360" w:lineRule="exact"/>
              <w:ind w:right="80" w:rightChars="38"/>
              <w:rPr>
                <w:rFonts w:hint="eastAsia" w:ascii="仿宋" w:hAnsi="仿宋" w:eastAsia="仿宋" w:cs="仿宋"/>
                <w:bCs/>
                <w:sz w:val="24"/>
              </w:rPr>
            </w:pPr>
          </w:p>
        </w:tc>
        <w:tc>
          <w:tcPr>
            <w:tcW w:w="1982" w:type="dxa"/>
            <w:gridSpan w:val="2"/>
            <w:noWrap/>
            <w:vAlign w:val="center"/>
          </w:tcPr>
          <w:p w14:paraId="1E53175C">
            <w:pPr>
              <w:spacing w:line="360" w:lineRule="exact"/>
              <w:ind w:right="80" w:rightChars="38"/>
              <w:rPr>
                <w:rFonts w:hint="eastAsia" w:ascii="仿宋" w:hAnsi="仿宋" w:eastAsia="仿宋" w:cs="仿宋"/>
                <w:bCs/>
                <w:sz w:val="24"/>
              </w:rPr>
            </w:pPr>
            <w:r>
              <w:rPr>
                <w:rFonts w:hint="eastAsia" w:ascii="仿宋" w:hAnsi="仿宋" w:eastAsia="仿宋" w:cs="仿宋"/>
                <w:bCs/>
                <w:sz w:val="24"/>
              </w:rPr>
              <w:t>传真</w:t>
            </w:r>
          </w:p>
        </w:tc>
        <w:tc>
          <w:tcPr>
            <w:tcW w:w="1452" w:type="dxa"/>
            <w:gridSpan w:val="2"/>
            <w:noWrap/>
            <w:vAlign w:val="center"/>
          </w:tcPr>
          <w:p w14:paraId="7F853526">
            <w:pPr>
              <w:spacing w:line="360" w:lineRule="exact"/>
              <w:ind w:right="80" w:rightChars="38"/>
              <w:rPr>
                <w:rFonts w:hint="eastAsia" w:ascii="仿宋" w:hAnsi="仿宋" w:eastAsia="仿宋" w:cs="仿宋"/>
                <w:bCs/>
                <w:sz w:val="24"/>
              </w:rPr>
            </w:pPr>
          </w:p>
        </w:tc>
      </w:tr>
      <w:tr w14:paraId="69BD1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932" w:type="dxa"/>
            <w:noWrap/>
            <w:vAlign w:val="center"/>
          </w:tcPr>
          <w:p w14:paraId="50A23489">
            <w:pPr>
              <w:spacing w:line="360" w:lineRule="exact"/>
              <w:ind w:right="80" w:rightChars="38"/>
              <w:jc w:val="center"/>
              <w:rPr>
                <w:rFonts w:hint="eastAsia" w:ascii="仿宋" w:hAnsi="仿宋" w:eastAsia="仿宋" w:cs="仿宋"/>
                <w:bCs/>
                <w:sz w:val="24"/>
              </w:rPr>
            </w:pPr>
            <w:r>
              <w:rPr>
                <w:rFonts w:hint="eastAsia" w:ascii="仿宋" w:hAnsi="仿宋" w:eastAsia="仿宋" w:cs="仿宋"/>
                <w:bCs/>
                <w:sz w:val="24"/>
              </w:rPr>
              <w:t>参班代表姓名</w:t>
            </w:r>
          </w:p>
        </w:tc>
        <w:tc>
          <w:tcPr>
            <w:tcW w:w="935" w:type="dxa"/>
            <w:noWrap/>
            <w:vAlign w:val="center"/>
          </w:tcPr>
          <w:p w14:paraId="573C80CA">
            <w:pPr>
              <w:spacing w:line="360" w:lineRule="exact"/>
              <w:ind w:right="80" w:rightChars="38"/>
              <w:jc w:val="center"/>
              <w:rPr>
                <w:rFonts w:hint="eastAsia" w:ascii="仿宋" w:hAnsi="仿宋" w:eastAsia="仿宋" w:cs="仿宋"/>
                <w:bCs/>
                <w:sz w:val="24"/>
              </w:rPr>
            </w:pPr>
            <w:r>
              <w:rPr>
                <w:rFonts w:hint="eastAsia" w:ascii="仿宋" w:hAnsi="仿宋" w:eastAsia="仿宋" w:cs="仿宋"/>
                <w:bCs/>
                <w:sz w:val="24"/>
              </w:rPr>
              <w:t>性别</w:t>
            </w:r>
          </w:p>
        </w:tc>
        <w:tc>
          <w:tcPr>
            <w:tcW w:w="1208" w:type="dxa"/>
            <w:noWrap/>
            <w:vAlign w:val="center"/>
          </w:tcPr>
          <w:p w14:paraId="1C681F6E">
            <w:pPr>
              <w:spacing w:line="360" w:lineRule="exact"/>
              <w:ind w:right="80" w:rightChars="38"/>
              <w:jc w:val="center"/>
              <w:rPr>
                <w:rFonts w:hint="eastAsia" w:ascii="仿宋" w:hAnsi="仿宋" w:eastAsia="仿宋" w:cs="仿宋"/>
                <w:bCs/>
                <w:sz w:val="24"/>
              </w:rPr>
            </w:pPr>
            <w:r>
              <w:rPr>
                <w:rFonts w:hint="eastAsia" w:ascii="仿宋" w:hAnsi="仿宋" w:eastAsia="仿宋" w:cs="仿宋"/>
                <w:bCs/>
                <w:sz w:val="24"/>
              </w:rPr>
              <w:t>部门</w:t>
            </w:r>
          </w:p>
        </w:tc>
        <w:tc>
          <w:tcPr>
            <w:tcW w:w="1417" w:type="dxa"/>
            <w:noWrap/>
            <w:vAlign w:val="center"/>
          </w:tcPr>
          <w:p w14:paraId="042518B3">
            <w:pPr>
              <w:spacing w:line="360" w:lineRule="exact"/>
              <w:ind w:right="80" w:rightChars="38"/>
              <w:jc w:val="center"/>
              <w:rPr>
                <w:rFonts w:hint="eastAsia" w:ascii="仿宋" w:hAnsi="仿宋" w:eastAsia="仿宋" w:cs="仿宋"/>
                <w:bCs/>
                <w:sz w:val="24"/>
              </w:rPr>
            </w:pPr>
            <w:r>
              <w:rPr>
                <w:rFonts w:hint="eastAsia" w:ascii="仿宋" w:hAnsi="仿宋" w:eastAsia="仿宋" w:cs="仿宋"/>
                <w:bCs/>
                <w:sz w:val="24"/>
              </w:rPr>
              <w:t>职务</w:t>
            </w:r>
          </w:p>
        </w:tc>
        <w:tc>
          <w:tcPr>
            <w:tcW w:w="1982" w:type="dxa"/>
            <w:gridSpan w:val="2"/>
            <w:noWrap/>
            <w:vAlign w:val="center"/>
          </w:tcPr>
          <w:p w14:paraId="52D7D9CC">
            <w:pPr>
              <w:spacing w:line="360" w:lineRule="exact"/>
              <w:ind w:right="80" w:rightChars="38"/>
              <w:jc w:val="center"/>
              <w:rPr>
                <w:rFonts w:hint="eastAsia" w:ascii="仿宋" w:hAnsi="仿宋" w:eastAsia="仿宋" w:cs="仿宋"/>
                <w:bCs/>
                <w:sz w:val="24"/>
              </w:rPr>
            </w:pPr>
            <w:r>
              <w:rPr>
                <w:rFonts w:hint="eastAsia" w:ascii="仿宋" w:hAnsi="仿宋" w:eastAsia="仿宋" w:cs="仿宋"/>
                <w:bCs/>
                <w:sz w:val="24"/>
              </w:rPr>
              <w:t>手机</w:t>
            </w:r>
          </w:p>
        </w:tc>
        <w:tc>
          <w:tcPr>
            <w:tcW w:w="1452" w:type="dxa"/>
            <w:gridSpan w:val="2"/>
            <w:noWrap/>
            <w:vAlign w:val="center"/>
          </w:tcPr>
          <w:p w14:paraId="219BE48B">
            <w:pPr>
              <w:spacing w:line="360" w:lineRule="exact"/>
              <w:ind w:right="80" w:rightChars="38"/>
              <w:jc w:val="center"/>
              <w:rPr>
                <w:rFonts w:hint="eastAsia" w:ascii="仿宋" w:hAnsi="仿宋" w:eastAsia="仿宋" w:cs="仿宋"/>
                <w:bCs/>
                <w:sz w:val="24"/>
              </w:rPr>
            </w:pPr>
            <w:r>
              <w:rPr>
                <w:rFonts w:hint="eastAsia" w:ascii="仿宋" w:hAnsi="仿宋" w:eastAsia="仿宋" w:cs="仿宋"/>
                <w:bCs/>
                <w:sz w:val="24"/>
              </w:rPr>
              <w:t>E-mail</w:t>
            </w:r>
          </w:p>
        </w:tc>
      </w:tr>
      <w:tr w14:paraId="4BFEC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932" w:type="dxa"/>
            <w:noWrap/>
            <w:vAlign w:val="center"/>
          </w:tcPr>
          <w:p w14:paraId="5A4C5586">
            <w:pPr>
              <w:spacing w:line="360" w:lineRule="exact"/>
              <w:ind w:right="80" w:rightChars="38"/>
              <w:rPr>
                <w:rFonts w:hint="eastAsia" w:ascii="仿宋" w:hAnsi="仿宋" w:eastAsia="仿宋" w:cs="仿宋"/>
                <w:bCs/>
                <w:sz w:val="24"/>
              </w:rPr>
            </w:pPr>
          </w:p>
        </w:tc>
        <w:tc>
          <w:tcPr>
            <w:tcW w:w="935" w:type="dxa"/>
            <w:noWrap/>
            <w:vAlign w:val="center"/>
          </w:tcPr>
          <w:p w14:paraId="3522F41A">
            <w:pPr>
              <w:spacing w:line="360" w:lineRule="exact"/>
              <w:ind w:right="80" w:rightChars="38"/>
              <w:rPr>
                <w:rFonts w:hint="eastAsia" w:ascii="仿宋" w:hAnsi="仿宋" w:eastAsia="仿宋" w:cs="仿宋"/>
                <w:bCs/>
                <w:sz w:val="24"/>
              </w:rPr>
            </w:pPr>
          </w:p>
        </w:tc>
        <w:tc>
          <w:tcPr>
            <w:tcW w:w="1208" w:type="dxa"/>
            <w:noWrap/>
            <w:vAlign w:val="center"/>
          </w:tcPr>
          <w:p w14:paraId="3604E3EE">
            <w:pPr>
              <w:spacing w:line="360" w:lineRule="exact"/>
              <w:ind w:right="80" w:rightChars="38"/>
              <w:rPr>
                <w:rFonts w:hint="eastAsia" w:ascii="仿宋" w:hAnsi="仿宋" w:eastAsia="仿宋" w:cs="仿宋"/>
                <w:bCs/>
                <w:sz w:val="24"/>
              </w:rPr>
            </w:pPr>
          </w:p>
        </w:tc>
        <w:tc>
          <w:tcPr>
            <w:tcW w:w="1417" w:type="dxa"/>
            <w:noWrap/>
            <w:vAlign w:val="center"/>
          </w:tcPr>
          <w:p w14:paraId="068495A0">
            <w:pPr>
              <w:spacing w:line="360" w:lineRule="exact"/>
              <w:ind w:right="80" w:rightChars="38"/>
              <w:rPr>
                <w:rFonts w:hint="eastAsia" w:ascii="仿宋" w:hAnsi="仿宋" w:eastAsia="仿宋" w:cs="仿宋"/>
                <w:bCs/>
                <w:sz w:val="24"/>
              </w:rPr>
            </w:pPr>
          </w:p>
        </w:tc>
        <w:tc>
          <w:tcPr>
            <w:tcW w:w="1982" w:type="dxa"/>
            <w:gridSpan w:val="2"/>
            <w:noWrap/>
            <w:vAlign w:val="center"/>
          </w:tcPr>
          <w:p w14:paraId="29C41831">
            <w:pPr>
              <w:spacing w:line="360" w:lineRule="exact"/>
              <w:ind w:right="80" w:rightChars="38"/>
              <w:rPr>
                <w:rFonts w:hint="eastAsia" w:ascii="仿宋" w:hAnsi="仿宋" w:eastAsia="仿宋" w:cs="仿宋"/>
                <w:bCs/>
                <w:sz w:val="24"/>
              </w:rPr>
            </w:pPr>
          </w:p>
        </w:tc>
        <w:tc>
          <w:tcPr>
            <w:tcW w:w="1452" w:type="dxa"/>
            <w:gridSpan w:val="2"/>
            <w:noWrap/>
            <w:vAlign w:val="center"/>
          </w:tcPr>
          <w:p w14:paraId="51A8F3C6">
            <w:pPr>
              <w:spacing w:line="360" w:lineRule="exact"/>
              <w:ind w:right="80" w:rightChars="38"/>
              <w:rPr>
                <w:rFonts w:hint="eastAsia" w:ascii="仿宋" w:hAnsi="仿宋" w:eastAsia="仿宋" w:cs="仿宋"/>
                <w:bCs/>
                <w:sz w:val="24"/>
              </w:rPr>
            </w:pPr>
          </w:p>
        </w:tc>
      </w:tr>
      <w:tr w14:paraId="7C521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932" w:type="dxa"/>
            <w:noWrap/>
            <w:vAlign w:val="center"/>
          </w:tcPr>
          <w:p w14:paraId="5EBB74DF">
            <w:pPr>
              <w:spacing w:line="360" w:lineRule="exact"/>
              <w:ind w:right="80" w:rightChars="38"/>
              <w:rPr>
                <w:rFonts w:hint="eastAsia" w:ascii="仿宋" w:hAnsi="仿宋" w:eastAsia="仿宋" w:cs="仿宋"/>
                <w:bCs/>
                <w:sz w:val="24"/>
              </w:rPr>
            </w:pPr>
          </w:p>
        </w:tc>
        <w:tc>
          <w:tcPr>
            <w:tcW w:w="935" w:type="dxa"/>
            <w:noWrap/>
            <w:vAlign w:val="center"/>
          </w:tcPr>
          <w:p w14:paraId="00DC43BA">
            <w:pPr>
              <w:spacing w:line="360" w:lineRule="exact"/>
              <w:ind w:right="80" w:rightChars="38"/>
              <w:rPr>
                <w:rFonts w:hint="eastAsia" w:ascii="仿宋" w:hAnsi="仿宋" w:eastAsia="仿宋" w:cs="仿宋"/>
                <w:bCs/>
                <w:sz w:val="24"/>
              </w:rPr>
            </w:pPr>
          </w:p>
        </w:tc>
        <w:tc>
          <w:tcPr>
            <w:tcW w:w="1208" w:type="dxa"/>
            <w:noWrap/>
            <w:vAlign w:val="center"/>
          </w:tcPr>
          <w:p w14:paraId="652F26ED">
            <w:pPr>
              <w:spacing w:line="360" w:lineRule="exact"/>
              <w:ind w:right="80" w:rightChars="38"/>
              <w:rPr>
                <w:rFonts w:hint="eastAsia" w:ascii="仿宋" w:hAnsi="仿宋" w:eastAsia="仿宋" w:cs="仿宋"/>
                <w:bCs/>
                <w:sz w:val="24"/>
              </w:rPr>
            </w:pPr>
          </w:p>
        </w:tc>
        <w:tc>
          <w:tcPr>
            <w:tcW w:w="1417" w:type="dxa"/>
            <w:noWrap/>
            <w:vAlign w:val="center"/>
          </w:tcPr>
          <w:p w14:paraId="1910EAC4">
            <w:pPr>
              <w:spacing w:line="360" w:lineRule="exact"/>
              <w:ind w:right="80" w:rightChars="38"/>
              <w:rPr>
                <w:rFonts w:hint="eastAsia" w:ascii="仿宋" w:hAnsi="仿宋" w:eastAsia="仿宋" w:cs="仿宋"/>
                <w:bCs/>
                <w:sz w:val="24"/>
              </w:rPr>
            </w:pPr>
          </w:p>
        </w:tc>
        <w:tc>
          <w:tcPr>
            <w:tcW w:w="1982" w:type="dxa"/>
            <w:gridSpan w:val="2"/>
            <w:noWrap/>
            <w:vAlign w:val="center"/>
          </w:tcPr>
          <w:p w14:paraId="5D0D5E89">
            <w:pPr>
              <w:spacing w:line="360" w:lineRule="exact"/>
              <w:ind w:right="80" w:rightChars="38"/>
              <w:rPr>
                <w:rFonts w:hint="eastAsia" w:ascii="仿宋" w:hAnsi="仿宋" w:eastAsia="仿宋" w:cs="仿宋"/>
                <w:bCs/>
                <w:sz w:val="24"/>
              </w:rPr>
            </w:pPr>
          </w:p>
        </w:tc>
        <w:tc>
          <w:tcPr>
            <w:tcW w:w="1452" w:type="dxa"/>
            <w:gridSpan w:val="2"/>
            <w:noWrap/>
            <w:vAlign w:val="center"/>
          </w:tcPr>
          <w:p w14:paraId="291A8415">
            <w:pPr>
              <w:spacing w:line="360" w:lineRule="exact"/>
              <w:ind w:right="80" w:rightChars="38"/>
              <w:rPr>
                <w:rFonts w:hint="eastAsia" w:ascii="仿宋" w:hAnsi="仿宋" w:eastAsia="仿宋" w:cs="仿宋"/>
                <w:bCs/>
                <w:sz w:val="24"/>
              </w:rPr>
            </w:pPr>
          </w:p>
        </w:tc>
      </w:tr>
      <w:tr w14:paraId="2F4B0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932" w:type="dxa"/>
            <w:noWrap/>
            <w:vAlign w:val="center"/>
          </w:tcPr>
          <w:p w14:paraId="71384043">
            <w:pPr>
              <w:spacing w:line="360" w:lineRule="exact"/>
              <w:ind w:right="80" w:rightChars="38"/>
              <w:rPr>
                <w:rFonts w:hint="eastAsia" w:ascii="仿宋" w:hAnsi="仿宋" w:eastAsia="仿宋" w:cs="仿宋"/>
                <w:bCs/>
                <w:sz w:val="24"/>
              </w:rPr>
            </w:pPr>
          </w:p>
        </w:tc>
        <w:tc>
          <w:tcPr>
            <w:tcW w:w="935" w:type="dxa"/>
            <w:noWrap/>
            <w:vAlign w:val="center"/>
          </w:tcPr>
          <w:p w14:paraId="71D1714B">
            <w:pPr>
              <w:spacing w:line="360" w:lineRule="exact"/>
              <w:ind w:right="80" w:rightChars="38"/>
              <w:rPr>
                <w:rFonts w:hint="eastAsia" w:ascii="仿宋" w:hAnsi="仿宋" w:eastAsia="仿宋" w:cs="仿宋"/>
                <w:bCs/>
                <w:sz w:val="24"/>
              </w:rPr>
            </w:pPr>
          </w:p>
        </w:tc>
        <w:tc>
          <w:tcPr>
            <w:tcW w:w="1208" w:type="dxa"/>
            <w:noWrap/>
            <w:vAlign w:val="center"/>
          </w:tcPr>
          <w:p w14:paraId="334C3AD7">
            <w:pPr>
              <w:spacing w:line="360" w:lineRule="exact"/>
              <w:ind w:right="80" w:rightChars="38"/>
              <w:rPr>
                <w:rFonts w:hint="eastAsia" w:ascii="仿宋" w:hAnsi="仿宋" w:eastAsia="仿宋" w:cs="仿宋"/>
                <w:bCs/>
                <w:sz w:val="24"/>
              </w:rPr>
            </w:pPr>
          </w:p>
        </w:tc>
        <w:tc>
          <w:tcPr>
            <w:tcW w:w="1417" w:type="dxa"/>
            <w:noWrap/>
            <w:vAlign w:val="center"/>
          </w:tcPr>
          <w:p w14:paraId="144A3516">
            <w:pPr>
              <w:spacing w:line="360" w:lineRule="exact"/>
              <w:ind w:right="80" w:rightChars="38"/>
              <w:rPr>
                <w:rFonts w:hint="eastAsia" w:ascii="仿宋" w:hAnsi="仿宋" w:eastAsia="仿宋" w:cs="仿宋"/>
                <w:bCs/>
                <w:sz w:val="24"/>
              </w:rPr>
            </w:pPr>
          </w:p>
        </w:tc>
        <w:tc>
          <w:tcPr>
            <w:tcW w:w="1982" w:type="dxa"/>
            <w:gridSpan w:val="2"/>
            <w:noWrap/>
            <w:vAlign w:val="center"/>
          </w:tcPr>
          <w:p w14:paraId="4F67FCA0">
            <w:pPr>
              <w:spacing w:line="360" w:lineRule="exact"/>
              <w:ind w:right="80" w:rightChars="38"/>
              <w:rPr>
                <w:rFonts w:hint="eastAsia" w:ascii="仿宋" w:hAnsi="仿宋" w:eastAsia="仿宋" w:cs="仿宋"/>
                <w:bCs/>
                <w:sz w:val="24"/>
              </w:rPr>
            </w:pPr>
          </w:p>
        </w:tc>
        <w:tc>
          <w:tcPr>
            <w:tcW w:w="1452" w:type="dxa"/>
            <w:gridSpan w:val="2"/>
            <w:noWrap/>
            <w:vAlign w:val="center"/>
          </w:tcPr>
          <w:p w14:paraId="53F84C2B">
            <w:pPr>
              <w:spacing w:line="360" w:lineRule="exact"/>
              <w:ind w:right="80" w:rightChars="38"/>
              <w:rPr>
                <w:rFonts w:hint="eastAsia" w:ascii="仿宋" w:hAnsi="仿宋" w:eastAsia="仿宋" w:cs="仿宋"/>
                <w:bCs/>
                <w:sz w:val="24"/>
              </w:rPr>
            </w:pPr>
          </w:p>
        </w:tc>
      </w:tr>
      <w:tr w14:paraId="1CE0A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932" w:type="dxa"/>
            <w:noWrap/>
            <w:vAlign w:val="center"/>
          </w:tcPr>
          <w:p w14:paraId="5DF8057A">
            <w:pPr>
              <w:spacing w:line="360" w:lineRule="exact"/>
              <w:ind w:right="80" w:rightChars="38"/>
              <w:rPr>
                <w:rFonts w:hint="eastAsia" w:ascii="仿宋" w:hAnsi="仿宋" w:eastAsia="仿宋" w:cs="仿宋"/>
                <w:bCs/>
                <w:sz w:val="24"/>
              </w:rPr>
            </w:pPr>
          </w:p>
        </w:tc>
        <w:tc>
          <w:tcPr>
            <w:tcW w:w="935" w:type="dxa"/>
            <w:noWrap/>
            <w:vAlign w:val="center"/>
          </w:tcPr>
          <w:p w14:paraId="7A67476C">
            <w:pPr>
              <w:spacing w:line="360" w:lineRule="exact"/>
              <w:ind w:right="80" w:rightChars="38"/>
              <w:rPr>
                <w:rFonts w:hint="eastAsia" w:ascii="仿宋" w:hAnsi="仿宋" w:eastAsia="仿宋" w:cs="仿宋"/>
                <w:bCs/>
                <w:sz w:val="24"/>
              </w:rPr>
            </w:pPr>
          </w:p>
        </w:tc>
        <w:tc>
          <w:tcPr>
            <w:tcW w:w="1208" w:type="dxa"/>
            <w:noWrap/>
            <w:vAlign w:val="center"/>
          </w:tcPr>
          <w:p w14:paraId="3F21270F">
            <w:pPr>
              <w:spacing w:line="360" w:lineRule="exact"/>
              <w:ind w:right="80" w:rightChars="38"/>
              <w:rPr>
                <w:rFonts w:hint="eastAsia" w:ascii="仿宋" w:hAnsi="仿宋" w:eastAsia="仿宋" w:cs="仿宋"/>
                <w:bCs/>
                <w:sz w:val="24"/>
              </w:rPr>
            </w:pPr>
          </w:p>
        </w:tc>
        <w:tc>
          <w:tcPr>
            <w:tcW w:w="1417" w:type="dxa"/>
            <w:noWrap/>
            <w:vAlign w:val="center"/>
          </w:tcPr>
          <w:p w14:paraId="3316DC15">
            <w:pPr>
              <w:spacing w:line="360" w:lineRule="exact"/>
              <w:ind w:right="80" w:rightChars="38"/>
              <w:rPr>
                <w:rFonts w:hint="eastAsia" w:ascii="仿宋" w:hAnsi="仿宋" w:eastAsia="仿宋" w:cs="仿宋"/>
                <w:bCs/>
                <w:sz w:val="24"/>
              </w:rPr>
            </w:pPr>
          </w:p>
        </w:tc>
        <w:tc>
          <w:tcPr>
            <w:tcW w:w="1982" w:type="dxa"/>
            <w:gridSpan w:val="2"/>
            <w:noWrap/>
            <w:vAlign w:val="center"/>
          </w:tcPr>
          <w:p w14:paraId="6685E7E1">
            <w:pPr>
              <w:spacing w:line="360" w:lineRule="exact"/>
              <w:ind w:right="80" w:rightChars="38"/>
              <w:rPr>
                <w:rFonts w:hint="eastAsia" w:ascii="仿宋" w:hAnsi="仿宋" w:eastAsia="仿宋" w:cs="仿宋"/>
                <w:bCs/>
                <w:sz w:val="24"/>
              </w:rPr>
            </w:pPr>
          </w:p>
        </w:tc>
        <w:tc>
          <w:tcPr>
            <w:tcW w:w="1452" w:type="dxa"/>
            <w:gridSpan w:val="2"/>
            <w:noWrap/>
            <w:vAlign w:val="center"/>
          </w:tcPr>
          <w:p w14:paraId="66D508A5">
            <w:pPr>
              <w:spacing w:line="360" w:lineRule="exact"/>
              <w:ind w:right="80" w:rightChars="38"/>
              <w:rPr>
                <w:rFonts w:hint="eastAsia" w:ascii="仿宋" w:hAnsi="仿宋" w:eastAsia="仿宋" w:cs="仿宋"/>
                <w:bCs/>
                <w:sz w:val="24"/>
              </w:rPr>
            </w:pPr>
          </w:p>
        </w:tc>
      </w:tr>
      <w:tr w14:paraId="0E983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932" w:type="dxa"/>
            <w:noWrap/>
            <w:vAlign w:val="center"/>
          </w:tcPr>
          <w:p w14:paraId="391DB521">
            <w:pPr>
              <w:spacing w:line="360" w:lineRule="exact"/>
              <w:ind w:right="80" w:rightChars="38"/>
              <w:rPr>
                <w:rFonts w:hint="eastAsia" w:ascii="仿宋" w:hAnsi="仿宋" w:eastAsia="仿宋" w:cs="仿宋"/>
                <w:bCs/>
                <w:sz w:val="24"/>
              </w:rPr>
            </w:pPr>
          </w:p>
        </w:tc>
        <w:tc>
          <w:tcPr>
            <w:tcW w:w="935" w:type="dxa"/>
            <w:noWrap/>
            <w:vAlign w:val="center"/>
          </w:tcPr>
          <w:p w14:paraId="539A3B22">
            <w:pPr>
              <w:spacing w:line="360" w:lineRule="exact"/>
              <w:ind w:right="80" w:rightChars="38"/>
              <w:rPr>
                <w:rFonts w:hint="eastAsia" w:ascii="仿宋" w:hAnsi="仿宋" w:eastAsia="仿宋" w:cs="仿宋"/>
                <w:bCs/>
                <w:sz w:val="24"/>
              </w:rPr>
            </w:pPr>
          </w:p>
        </w:tc>
        <w:tc>
          <w:tcPr>
            <w:tcW w:w="1208" w:type="dxa"/>
            <w:noWrap/>
            <w:vAlign w:val="center"/>
          </w:tcPr>
          <w:p w14:paraId="4ED09FDD">
            <w:pPr>
              <w:spacing w:line="360" w:lineRule="exact"/>
              <w:ind w:right="80" w:rightChars="38"/>
              <w:rPr>
                <w:rFonts w:hint="eastAsia" w:ascii="仿宋" w:hAnsi="仿宋" w:eastAsia="仿宋" w:cs="仿宋"/>
                <w:bCs/>
                <w:sz w:val="24"/>
              </w:rPr>
            </w:pPr>
          </w:p>
        </w:tc>
        <w:tc>
          <w:tcPr>
            <w:tcW w:w="1417" w:type="dxa"/>
            <w:noWrap/>
            <w:vAlign w:val="center"/>
          </w:tcPr>
          <w:p w14:paraId="43FD280F">
            <w:pPr>
              <w:spacing w:line="360" w:lineRule="exact"/>
              <w:ind w:right="80" w:rightChars="38"/>
              <w:rPr>
                <w:rFonts w:hint="eastAsia" w:ascii="仿宋" w:hAnsi="仿宋" w:eastAsia="仿宋" w:cs="仿宋"/>
                <w:bCs/>
                <w:sz w:val="24"/>
              </w:rPr>
            </w:pPr>
          </w:p>
        </w:tc>
        <w:tc>
          <w:tcPr>
            <w:tcW w:w="1982" w:type="dxa"/>
            <w:gridSpan w:val="2"/>
            <w:noWrap/>
            <w:vAlign w:val="center"/>
          </w:tcPr>
          <w:p w14:paraId="7E42AA8E">
            <w:pPr>
              <w:spacing w:line="360" w:lineRule="exact"/>
              <w:ind w:right="80" w:rightChars="38"/>
              <w:rPr>
                <w:rFonts w:hint="eastAsia" w:ascii="仿宋" w:hAnsi="仿宋" w:eastAsia="仿宋" w:cs="仿宋"/>
                <w:bCs/>
                <w:sz w:val="24"/>
              </w:rPr>
            </w:pPr>
          </w:p>
        </w:tc>
        <w:tc>
          <w:tcPr>
            <w:tcW w:w="1452" w:type="dxa"/>
            <w:gridSpan w:val="2"/>
            <w:noWrap/>
            <w:vAlign w:val="center"/>
          </w:tcPr>
          <w:p w14:paraId="4988246B">
            <w:pPr>
              <w:spacing w:line="360" w:lineRule="exact"/>
              <w:ind w:right="80" w:rightChars="38"/>
              <w:rPr>
                <w:rFonts w:hint="eastAsia" w:ascii="仿宋" w:hAnsi="仿宋" w:eastAsia="仿宋" w:cs="仿宋"/>
                <w:bCs/>
                <w:sz w:val="24"/>
              </w:rPr>
            </w:pPr>
          </w:p>
        </w:tc>
      </w:tr>
      <w:tr w14:paraId="5DDD7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932" w:type="dxa"/>
            <w:noWrap/>
            <w:vAlign w:val="center"/>
          </w:tcPr>
          <w:p w14:paraId="013A0E1C">
            <w:pPr>
              <w:spacing w:line="360" w:lineRule="exact"/>
              <w:ind w:right="80" w:rightChars="38"/>
              <w:rPr>
                <w:rFonts w:hint="eastAsia" w:ascii="仿宋" w:hAnsi="仿宋" w:eastAsia="仿宋" w:cs="仿宋"/>
                <w:bCs/>
                <w:sz w:val="24"/>
              </w:rPr>
            </w:pPr>
          </w:p>
        </w:tc>
        <w:tc>
          <w:tcPr>
            <w:tcW w:w="935" w:type="dxa"/>
            <w:noWrap/>
            <w:vAlign w:val="center"/>
          </w:tcPr>
          <w:p w14:paraId="3746106F">
            <w:pPr>
              <w:spacing w:line="360" w:lineRule="exact"/>
              <w:ind w:right="80" w:rightChars="38"/>
              <w:rPr>
                <w:rFonts w:hint="eastAsia" w:ascii="仿宋" w:hAnsi="仿宋" w:eastAsia="仿宋" w:cs="仿宋"/>
                <w:bCs/>
                <w:sz w:val="24"/>
              </w:rPr>
            </w:pPr>
          </w:p>
        </w:tc>
        <w:tc>
          <w:tcPr>
            <w:tcW w:w="1208" w:type="dxa"/>
            <w:noWrap/>
            <w:vAlign w:val="center"/>
          </w:tcPr>
          <w:p w14:paraId="07668CC4">
            <w:pPr>
              <w:spacing w:line="360" w:lineRule="exact"/>
              <w:ind w:right="80" w:rightChars="38"/>
              <w:rPr>
                <w:rFonts w:hint="eastAsia" w:ascii="仿宋" w:hAnsi="仿宋" w:eastAsia="仿宋" w:cs="仿宋"/>
                <w:bCs/>
                <w:sz w:val="24"/>
              </w:rPr>
            </w:pPr>
          </w:p>
        </w:tc>
        <w:tc>
          <w:tcPr>
            <w:tcW w:w="1417" w:type="dxa"/>
            <w:noWrap/>
            <w:vAlign w:val="center"/>
          </w:tcPr>
          <w:p w14:paraId="296A31D1">
            <w:pPr>
              <w:spacing w:line="360" w:lineRule="exact"/>
              <w:ind w:right="80" w:rightChars="38"/>
              <w:rPr>
                <w:rFonts w:hint="eastAsia" w:ascii="仿宋" w:hAnsi="仿宋" w:eastAsia="仿宋" w:cs="仿宋"/>
                <w:bCs/>
                <w:sz w:val="24"/>
              </w:rPr>
            </w:pPr>
          </w:p>
        </w:tc>
        <w:tc>
          <w:tcPr>
            <w:tcW w:w="1982" w:type="dxa"/>
            <w:gridSpan w:val="2"/>
            <w:noWrap/>
            <w:vAlign w:val="center"/>
          </w:tcPr>
          <w:p w14:paraId="3CDC04D5">
            <w:pPr>
              <w:spacing w:line="360" w:lineRule="exact"/>
              <w:ind w:right="80" w:rightChars="38"/>
              <w:rPr>
                <w:rFonts w:hint="eastAsia" w:ascii="仿宋" w:hAnsi="仿宋" w:eastAsia="仿宋" w:cs="仿宋"/>
                <w:bCs/>
                <w:sz w:val="24"/>
              </w:rPr>
            </w:pPr>
          </w:p>
        </w:tc>
        <w:tc>
          <w:tcPr>
            <w:tcW w:w="1452" w:type="dxa"/>
            <w:gridSpan w:val="2"/>
            <w:noWrap/>
            <w:vAlign w:val="center"/>
          </w:tcPr>
          <w:p w14:paraId="4DB8C191">
            <w:pPr>
              <w:spacing w:line="360" w:lineRule="exact"/>
              <w:ind w:right="80" w:rightChars="38"/>
              <w:rPr>
                <w:rFonts w:hint="eastAsia" w:ascii="仿宋" w:hAnsi="仿宋" w:eastAsia="仿宋" w:cs="仿宋"/>
                <w:bCs/>
                <w:sz w:val="24"/>
              </w:rPr>
            </w:pPr>
          </w:p>
        </w:tc>
      </w:tr>
      <w:tr w14:paraId="63449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32" w:type="dxa"/>
            <w:noWrap/>
            <w:vAlign w:val="center"/>
          </w:tcPr>
          <w:p w14:paraId="3783132C">
            <w:pPr>
              <w:spacing w:line="360" w:lineRule="exact"/>
              <w:ind w:right="80" w:rightChars="38"/>
              <w:rPr>
                <w:rFonts w:hint="eastAsia" w:ascii="仿宋" w:hAnsi="仿宋" w:eastAsia="仿宋" w:cs="仿宋"/>
                <w:bCs/>
                <w:sz w:val="24"/>
              </w:rPr>
            </w:pPr>
          </w:p>
        </w:tc>
        <w:tc>
          <w:tcPr>
            <w:tcW w:w="935" w:type="dxa"/>
            <w:noWrap/>
            <w:vAlign w:val="center"/>
          </w:tcPr>
          <w:p w14:paraId="3B57A864">
            <w:pPr>
              <w:spacing w:line="360" w:lineRule="exact"/>
              <w:ind w:right="80" w:rightChars="38"/>
              <w:rPr>
                <w:rFonts w:hint="eastAsia" w:ascii="仿宋" w:hAnsi="仿宋" w:eastAsia="仿宋" w:cs="仿宋"/>
                <w:bCs/>
                <w:sz w:val="24"/>
              </w:rPr>
            </w:pPr>
          </w:p>
        </w:tc>
        <w:tc>
          <w:tcPr>
            <w:tcW w:w="1208" w:type="dxa"/>
            <w:noWrap/>
            <w:vAlign w:val="center"/>
          </w:tcPr>
          <w:p w14:paraId="18306C3D">
            <w:pPr>
              <w:spacing w:line="360" w:lineRule="exact"/>
              <w:ind w:right="80" w:rightChars="38"/>
              <w:rPr>
                <w:rFonts w:hint="eastAsia" w:ascii="仿宋" w:hAnsi="仿宋" w:eastAsia="仿宋" w:cs="仿宋"/>
                <w:bCs/>
                <w:sz w:val="24"/>
              </w:rPr>
            </w:pPr>
          </w:p>
        </w:tc>
        <w:tc>
          <w:tcPr>
            <w:tcW w:w="1417" w:type="dxa"/>
            <w:noWrap/>
            <w:vAlign w:val="center"/>
          </w:tcPr>
          <w:p w14:paraId="46774953">
            <w:pPr>
              <w:spacing w:line="360" w:lineRule="exact"/>
              <w:ind w:right="80" w:rightChars="38"/>
              <w:rPr>
                <w:rFonts w:hint="eastAsia" w:ascii="仿宋" w:hAnsi="仿宋" w:eastAsia="仿宋" w:cs="仿宋"/>
                <w:bCs/>
                <w:sz w:val="24"/>
              </w:rPr>
            </w:pPr>
          </w:p>
        </w:tc>
        <w:tc>
          <w:tcPr>
            <w:tcW w:w="1982" w:type="dxa"/>
            <w:gridSpan w:val="2"/>
            <w:noWrap/>
            <w:vAlign w:val="center"/>
          </w:tcPr>
          <w:p w14:paraId="27EFB4A4">
            <w:pPr>
              <w:spacing w:line="360" w:lineRule="exact"/>
              <w:ind w:right="80" w:rightChars="38"/>
              <w:rPr>
                <w:rFonts w:hint="eastAsia" w:ascii="仿宋" w:hAnsi="仿宋" w:eastAsia="仿宋" w:cs="仿宋"/>
                <w:bCs/>
                <w:sz w:val="24"/>
              </w:rPr>
            </w:pPr>
          </w:p>
        </w:tc>
        <w:tc>
          <w:tcPr>
            <w:tcW w:w="1452" w:type="dxa"/>
            <w:gridSpan w:val="2"/>
            <w:noWrap/>
            <w:vAlign w:val="center"/>
          </w:tcPr>
          <w:p w14:paraId="55BCEA60">
            <w:pPr>
              <w:spacing w:line="360" w:lineRule="exact"/>
              <w:ind w:right="80" w:rightChars="38"/>
              <w:rPr>
                <w:rFonts w:hint="eastAsia" w:ascii="仿宋" w:hAnsi="仿宋" w:eastAsia="仿宋" w:cs="仿宋"/>
                <w:bCs/>
                <w:sz w:val="24"/>
              </w:rPr>
            </w:pPr>
          </w:p>
        </w:tc>
      </w:tr>
      <w:tr w14:paraId="44140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32" w:type="dxa"/>
            <w:noWrap/>
            <w:vAlign w:val="center"/>
          </w:tcPr>
          <w:p w14:paraId="2BB4D6ED">
            <w:pPr>
              <w:spacing w:line="360" w:lineRule="exact"/>
              <w:ind w:right="80" w:rightChars="38"/>
              <w:rPr>
                <w:rFonts w:hint="eastAsia" w:ascii="仿宋" w:hAnsi="仿宋" w:eastAsia="仿宋" w:cs="仿宋"/>
                <w:bCs/>
                <w:sz w:val="24"/>
              </w:rPr>
            </w:pPr>
          </w:p>
        </w:tc>
        <w:tc>
          <w:tcPr>
            <w:tcW w:w="935" w:type="dxa"/>
            <w:noWrap/>
            <w:vAlign w:val="center"/>
          </w:tcPr>
          <w:p w14:paraId="6BC5B5B0">
            <w:pPr>
              <w:spacing w:line="360" w:lineRule="exact"/>
              <w:ind w:right="80" w:rightChars="38"/>
              <w:rPr>
                <w:rFonts w:hint="eastAsia" w:ascii="仿宋" w:hAnsi="仿宋" w:eastAsia="仿宋" w:cs="仿宋"/>
                <w:bCs/>
                <w:sz w:val="24"/>
              </w:rPr>
            </w:pPr>
          </w:p>
        </w:tc>
        <w:tc>
          <w:tcPr>
            <w:tcW w:w="1208" w:type="dxa"/>
            <w:noWrap/>
            <w:vAlign w:val="center"/>
          </w:tcPr>
          <w:p w14:paraId="38ED388F">
            <w:pPr>
              <w:spacing w:line="360" w:lineRule="exact"/>
              <w:ind w:right="80" w:rightChars="38"/>
              <w:rPr>
                <w:rFonts w:hint="eastAsia" w:ascii="仿宋" w:hAnsi="仿宋" w:eastAsia="仿宋" w:cs="仿宋"/>
                <w:bCs/>
                <w:sz w:val="24"/>
              </w:rPr>
            </w:pPr>
          </w:p>
        </w:tc>
        <w:tc>
          <w:tcPr>
            <w:tcW w:w="1417" w:type="dxa"/>
            <w:noWrap/>
            <w:vAlign w:val="center"/>
          </w:tcPr>
          <w:p w14:paraId="3B42EC2F">
            <w:pPr>
              <w:spacing w:line="360" w:lineRule="exact"/>
              <w:ind w:right="80" w:rightChars="38"/>
              <w:rPr>
                <w:rFonts w:hint="eastAsia" w:ascii="仿宋" w:hAnsi="仿宋" w:eastAsia="仿宋" w:cs="仿宋"/>
                <w:bCs/>
                <w:sz w:val="24"/>
              </w:rPr>
            </w:pPr>
          </w:p>
        </w:tc>
        <w:tc>
          <w:tcPr>
            <w:tcW w:w="1982" w:type="dxa"/>
            <w:gridSpan w:val="2"/>
            <w:noWrap/>
            <w:vAlign w:val="center"/>
          </w:tcPr>
          <w:p w14:paraId="45C7FBE7">
            <w:pPr>
              <w:spacing w:line="360" w:lineRule="exact"/>
              <w:ind w:right="80" w:rightChars="38"/>
              <w:rPr>
                <w:rFonts w:hint="eastAsia" w:ascii="仿宋" w:hAnsi="仿宋" w:eastAsia="仿宋" w:cs="仿宋"/>
                <w:bCs/>
                <w:sz w:val="24"/>
              </w:rPr>
            </w:pPr>
          </w:p>
        </w:tc>
        <w:tc>
          <w:tcPr>
            <w:tcW w:w="1452" w:type="dxa"/>
            <w:gridSpan w:val="2"/>
            <w:noWrap/>
            <w:vAlign w:val="center"/>
          </w:tcPr>
          <w:p w14:paraId="49A1829D">
            <w:pPr>
              <w:spacing w:line="360" w:lineRule="exact"/>
              <w:ind w:right="80" w:rightChars="38"/>
              <w:rPr>
                <w:rFonts w:hint="eastAsia" w:ascii="仿宋" w:hAnsi="仿宋" w:eastAsia="仿宋" w:cs="仿宋"/>
                <w:bCs/>
                <w:sz w:val="24"/>
              </w:rPr>
            </w:pPr>
          </w:p>
        </w:tc>
      </w:tr>
      <w:tr w14:paraId="38EB1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32" w:type="dxa"/>
            <w:noWrap/>
            <w:vAlign w:val="center"/>
          </w:tcPr>
          <w:p w14:paraId="3D4A79C0">
            <w:pPr>
              <w:spacing w:line="360" w:lineRule="exact"/>
              <w:ind w:right="80" w:rightChars="38"/>
              <w:rPr>
                <w:rFonts w:hint="eastAsia" w:ascii="仿宋" w:hAnsi="仿宋" w:eastAsia="仿宋" w:cs="仿宋"/>
                <w:bCs/>
                <w:sz w:val="24"/>
              </w:rPr>
            </w:pPr>
            <w:r>
              <w:rPr>
                <w:rFonts w:hint="eastAsia" w:ascii="仿宋" w:hAnsi="仿宋" w:eastAsia="仿宋" w:cs="仿宋"/>
                <w:bCs/>
                <w:sz w:val="24"/>
              </w:rPr>
              <w:t>住宿安排</w:t>
            </w:r>
          </w:p>
        </w:tc>
        <w:tc>
          <w:tcPr>
            <w:tcW w:w="6994" w:type="dxa"/>
            <w:gridSpan w:val="7"/>
            <w:noWrap/>
            <w:vAlign w:val="center"/>
          </w:tcPr>
          <w:p w14:paraId="6BCA714F">
            <w:pPr>
              <w:spacing w:line="360" w:lineRule="exact"/>
              <w:ind w:right="80" w:rightChars="38"/>
              <w:rPr>
                <w:rFonts w:hint="eastAsia" w:ascii="仿宋" w:hAnsi="仿宋" w:eastAsia="仿宋" w:cs="仿宋"/>
                <w:bCs/>
                <w:sz w:val="24"/>
              </w:rPr>
            </w:pPr>
            <w:r>
              <w:rPr>
                <w:rFonts w:hint="eastAsia" w:ascii="仿宋" w:hAnsi="仿宋" w:eastAsia="仿宋" w:cs="仿宋"/>
                <w:bCs/>
                <w:sz w:val="24"/>
              </w:rPr>
              <w:t>□单间    □标间   订房数量</w:t>
            </w:r>
            <w:r>
              <w:rPr>
                <w:rFonts w:hint="eastAsia" w:ascii="仿宋" w:hAnsi="仿宋" w:eastAsia="仿宋" w:cs="仿宋"/>
                <w:bCs/>
                <w:sz w:val="24"/>
                <w:u w:val="single"/>
              </w:rPr>
              <w:t xml:space="preserve">    </w:t>
            </w:r>
            <w:r>
              <w:rPr>
                <w:rFonts w:hint="eastAsia" w:ascii="仿宋" w:hAnsi="仿宋" w:eastAsia="仿宋" w:cs="仿宋"/>
                <w:bCs/>
                <w:sz w:val="24"/>
              </w:rPr>
              <w:t>间    □否    □自行安排</w:t>
            </w:r>
          </w:p>
        </w:tc>
      </w:tr>
      <w:tr w14:paraId="348F6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1932" w:type="dxa"/>
            <w:noWrap/>
            <w:vAlign w:val="center"/>
          </w:tcPr>
          <w:p w14:paraId="0B04DD1F">
            <w:pPr>
              <w:spacing w:line="360" w:lineRule="exact"/>
              <w:ind w:right="80" w:rightChars="38"/>
              <w:rPr>
                <w:rFonts w:hint="eastAsia" w:ascii="仿宋" w:hAnsi="仿宋" w:eastAsia="仿宋" w:cs="仿宋"/>
                <w:bCs/>
                <w:sz w:val="24"/>
              </w:rPr>
            </w:pPr>
            <w:r>
              <w:rPr>
                <w:rFonts w:hint="eastAsia" w:ascii="仿宋" w:hAnsi="仿宋" w:eastAsia="仿宋" w:cs="仿宋"/>
                <w:bCs/>
                <w:sz w:val="24"/>
              </w:rPr>
              <w:t>参会地点</w:t>
            </w:r>
          </w:p>
        </w:tc>
        <w:tc>
          <w:tcPr>
            <w:tcW w:w="4546" w:type="dxa"/>
            <w:gridSpan w:val="4"/>
            <w:noWrap/>
            <w:vAlign w:val="center"/>
          </w:tcPr>
          <w:p w14:paraId="711825F8">
            <w:pPr>
              <w:spacing w:line="360" w:lineRule="exact"/>
              <w:ind w:left="240" w:right="80" w:rightChars="38" w:hanging="240" w:hangingChars="100"/>
              <w:rPr>
                <w:rFonts w:hint="default" w:ascii="仿宋" w:hAnsi="仿宋" w:eastAsia="仿宋" w:cs="仿宋"/>
                <w:bCs/>
                <w:sz w:val="24"/>
                <w:lang w:val="en-US" w:eastAsia="zh-CN"/>
              </w:rPr>
            </w:pPr>
            <w:r>
              <w:rPr>
                <w:rFonts w:hint="eastAsia" w:ascii="仿宋" w:hAnsi="仿宋" w:eastAsia="仿宋" w:cs="仿宋"/>
                <w:bCs/>
                <w:sz w:val="24"/>
              </w:rPr>
              <w:t xml:space="preserve"> </w:t>
            </w:r>
            <w:r>
              <w:rPr>
                <w:rFonts w:hint="eastAsia" w:ascii="仿宋" w:hAnsi="仿宋" w:eastAsia="仿宋" w:cs="仿宋"/>
                <w:bCs/>
                <w:sz w:val="24"/>
                <w:lang w:val="en-US" w:eastAsia="zh-CN"/>
              </w:rPr>
              <w:t xml:space="preserve">    </w:t>
            </w:r>
            <w:r>
              <w:rPr>
                <w:rFonts w:hint="eastAsia" w:ascii="仿宋" w:hAnsi="仿宋" w:eastAsia="仿宋" w:cs="仿宋"/>
                <w:bCs/>
                <w:sz w:val="24"/>
              </w:rPr>
              <w:t>□</w:t>
            </w:r>
            <w:r>
              <w:rPr>
                <w:rFonts w:hint="eastAsia" w:ascii="仿宋" w:hAnsi="仿宋" w:eastAsia="仿宋" w:cs="仿宋"/>
                <w:bCs/>
                <w:sz w:val="24"/>
                <w:lang w:val="en-US" w:eastAsia="zh-CN"/>
              </w:rPr>
              <w:t xml:space="preserve">南京  </w:t>
            </w:r>
            <w:r>
              <w:rPr>
                <w:rFonts w:hint="eastAsia" w:ascii="仿宋" w:hAnsi="仿宋" w:eastAsia="仿宋" w:cs="仿宋"/>
                <w:bCs/>
                <w:sz w:val="24"/>
              </w:rPr>
              <w:t>□</w:t>
            </w:r>
            <w:r>
              <w:rPr>
                <w:rFonts w:hint="eastAsia" w:ascii="仿宋" w:hAnsi="仿宋" w:eastAsia="仿宋" w:cs="仿宋"/>
                <w:bCs/>
                <w:sz w:val="24"/>
                <w:lang w:val="en-US" w:eastAsia="zh-CN"/>
              </w:rPr>
              <w:t>长沙</w:t>
            </w:r>
          </w:p>
        </w:tc>
        <w:tc>
          <w:tcPr>
            <w:tcW w:w="1500" w:type="dxa"/>
            <w:gridSpan w:val="2"/>
            <w:noWrap/>
            <w:vAlign w:val="center"/>
          </w:tcPr>
          <w:p w14:paraId="057397B6">
            <w:pPr>
              <w:spacing w:line="360" w:lineRule="exact"/>
              <w:ind w:right="80" w:rightChars="38"/>
              <w:rPr>
                <w:rFonts w:hint="eastAsia" w:ascii="仿宋" w:hAnsi="仿宋" w:eastAsia="仿宋" w:cs="仿宋"/>
                <w:bCs/>
                <w:sz w:val="24"/>
              </w:rPr>
            </w:pPr>
            <w:r>
              <w:rPr>
                <w:rFonts w:hint="eastAsia" w:ascii="仿宋" w:hAnsi="仿宋" w:eastAsia="仿宋" w:cs="仿宋"/>
                <w:bCs/>
                <w:sz w:val="24"/>
              </w:rPr>
              <w:t>培训费用</w:t>
            </w:r>
          </w:p>
        </w:tc>
        <w:tc>
          <w:tcPr>
            <w:tcW w:w="948" w:type="dxa"/>
            <w:noWrap/>
            <w:vAlign w:val="center"/>
          </w:tcPr>
          <w:p w14:paraId="5AF7EEE2">
            <w:pPr>
              <w:spacing w:line="360" w:lineRule="exact"/>
              <w:ind w:right="80" w:rightChars="38"/>
              <w:rPr>
                <w:rFonts w:hint="eastAsia" w:ascii="仿宋" w:hAnsi="仿宋" w:eastAsia="仿宋" w:cs="仿宋"/>
                <w:bCs/>
                <w:sz w:val="24"/>
              </w:rPr>
            </w:pPr>
          </w:p>
        </w:tc>
      </w:tr>
      <w:tr w14:paraId="17291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1932" w:type="dxa"/>
            <w:noWrap/>
            <w:vAlign w:val="center"/>
          </w:tcPr>
          <w:p w14:paraId="4BDF911C">
            <w:pPr>
              <w:spacing w:line="360" w:lineRule="exact"/>
              <w:ind w:right="80" w:rightChars="38"/>
              <w:rPr>
                <w:rFonts w:hint="eastAsia" w:ascii="仿宋" w:hAnsi="仿宋" w:eastAsia="仿宋" w:cs="仿宋"/>
                <w:bCs/>
                <w:sz w:val="24"/>
              </w:rPr>
            </w:pPr>
            <w:r>
              <w:rPr>
                <w:rFonts w:hint="eastAsia" w:ascii="仿宋" w:hAnsi="仿宋" w:eastAsia="仿宋" w:cs="仿宋"/>
                <w:bCs/>
                <w:sz w:val="24"/>
              </w:rPr>
              <w:t>付款方式</w:t>
            </w:r>
          </w:p>
        </w:tc>
        <w:tc>
          <w:tcPr>
            <w:tcW w:w="6994" w:type="dxa"/>
            <w:gridSpan w:val="7"/>
            <w:noWrap/>
            <w:vAlign w:val="center"/>
          </w:tcPr>
          <w:p w14:paraId="53AEECEC">
            <w:pPr>
              <w:spacing w:line="360" w:lineRule="exact"/>
              <w:ind w:right="80" w:rightChars="38" w:firstLine="240" w:firstLineChars="100"/>
              <w:rPr>
                <w:rFonts w:hint="eastAsia" w:ascii="仿宋" w:hAnsi="仿宋" w:eastAsia="仿宋" w:cs="仿宋"/>
                <w:bCs/>
                <w:sz w:val="24"/>
              </w:rPr>
            </w:pPr>
            <w:r>
              <w:rPr>
                <w:rFonts w:hint="eastAsia" w:ascii="仿宋" w:hAnsi="仿宋" w:eastAsia="仿宋" w:cs="仿宋"/>
                <w:bCs/>
                <w:sz w:val="24"/>
              </w:rPr>
              <w:t>□通过银行        □刷卡      □现金   □微信/支付宝</w:t>
            </w:r>
          </w:p>
        </w:tc>
      </w:tr>
      <w:tr w14:paraId="11E84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932" w:type="dxa"/>
            <w:noWrap/>
            <w:vAlign w:val="center"/>
          </w:tcPr>
          <w:p w14:paraId="5EFF5203">
            <w:pPr>
              <w:ind w:right="80" w:rightChars="38"/>
              <w:rPr>
                <w:rFonts w:hint="eastAsia" w:ascii="仿宋" w:hAnsi="仿宋" w:eastAsia="仿宋" w:cs="仿宋"/>
                <w:b/>
                <w:bCs/>
                <w:sz w:val="24"/>
                <w:lang w:val="zh-CN" w:bidi="zh-CN"/>
              </w:rPr>
            </w:pPr>
            <w:r>
              <w:rPr>
                <w:rFonts w:hint="eastAsia" w:ascii="仿宋" w:hAnsi="仿宋" w:eastAsia="仿宋" w:cs="仿宋"/>
                <w:b/>
                <w:bCs/>
                <w:sz w:val="24"/>
              </w:rPr>
              <w:t>发票类别</w:t>
            </w:r>
          </w:p>
        </w:tc>
        <w:tc>
          <w:tcPr>
            <w:tcW w:w="6994" w:type="dxa"/>
            <w:gridSpan w:val="7"/>
            <w:noWrap/>
            <w:vAlign w:val="top"/>
          </w:tcPr>
          <w:p w14:paraId="3400856C">
            <w:pPr>
              <w:ind w:right="80" w:rightChars="38"/>
              <w:rPr>
                <w:rFonts w:hint="eastAsia" w:ascii="仿宋" w:hAnsi="仿宋" w:eastAsia="仿宋" w:cs="仿宋"/>
                <w:b/>
                <w:bCs/>
                <w:sz w:val="24"/>
              </w:rPr>
            </w:pPr>
            <w:r>
              <w:rPr>
                <w:rFonts w:hint="eastAsia" w:ascii="仿宋" w:hAnsi="仿宋" w:eastAsia="仿宋" w:cs="仿宋"/>
                <w:b/>
                <w:bCs/>
                <w:sz w:val="24"/>
              </w:rPr>
              <w:t>增值税（</w:t>
            </w:r>
            <w:r>
              <w:rPr>
                <w:rFonts w:hint="eastAsia" w:ascii="仿宋" w:hAnsi="仿宋" w:eastAsia="仿宋" w:cs="仿宋"/>
                <w:bCs/>
                <w:sz w:val="24"/>
              </w:rPr>
              <w:t>□</w:t>
            </w:r>
            <w:r>
              <w:rPr>
                <w:rFonts w:hint="eastAsia" w:ascii="仿宋" w:hAnsi="仿宋" w:eastAsia="仿宋" w:cs="仿宋"/>
                <w:b/>
                <w:bCs/>
                <w:sz w:val="24"/>
              </w:rPr>
              <w:t>普通□专用）发票,开票信息如下：</w:t>
            </w:r>
          </w:p>
          <w:p w14:paraId="4EAF9541">
            <w:pPr>
              <w:ind w:right="80" w:rightChars="38"/>
              <w:rPr>
                <w:rFonts w:hint="eastAsia" w:ascii="仿宋" w:hAnsi="仿宋" w:eastAsia="仿宋" w:cs="仿宋"/>
                <w:b/>
                <w:bCs/>
                <w:sz w:val="24"/>
              </w:rPr>
            </w:pPr>
            <w:r>
              <w:rPr>
                <w:rFonts w:hint="eastAsia" w:ascii="仿宋" w:hAnsi="仿宋" w:eastAsia="仿宋" w:cs="仿宋"/>
                <w:b/>
                <w:bCs/>
                <w:sz w:val="24"/>
              </w:rPr>
              <w:t>单 位 名 称：</w:t>
            </w:r>
          </w:p>
          <w:p w14:paraId="38BE4139">
            <w:pPr>
              <w:ind w:right="80" w:rightChars="38"/>
              <w:rPr>
                <w:rFonts w:hint="eastAsia" w:ascii="仿宋" w:hAnsi="仿宋" w:eastAsia="仿宋" w:cs="仿宋"/>
                <w:b/>
                <w:bCs/>
                <w:sz w:val="24"/>
              </w:rPr>
            </w:pPr>
            <w:r>
              <w:rPr>
                <w:rFonts w:hint="eastAsia" w:ascii="仿宋" w:hAnsi="仿宋" w:eastAsia="仿宋" w:cs="仿宋"/>
                <w:b/>
                <w:bCs/>
                <w:sz w:val="24"/>
              </w:rPr>
              <w:t>税       号：</w:t>
            </w:r>
          </w:p>
          <w:p w14:paraId="6C346413">
            <w:pPr>
              <w:ind w:right="80" w:rightChars="38"/>
              <w:rPr>
                <w:rFonts w:hint="eastAsia" w:ascii="仿宋" w:hAnsi="仿宋" w:eastAsia="仿宋" w:cs="仿宋"/>
                <w:b/>
                <w:bCs/>
                <w:sz w:val="24"/>
              </w:rPr>
            </w:pPr>
            <w:r>
              <w:rPr>
                <w:rFonts w:hint="eastAsia" w:ascii="仿宋" w:hAnsi="仿宋" w:eastAsia="仿宋" w:cs="仿宋"/>
                <w:b/>
                <w:bCs/>
                <w:sz w:val="24"/>
              </w:rPr>
              <w:t>地址、 电话：</w:t>
            </w:r>
          </w:p>
          <w:p w14:paraId="03FBDAFD">
            <w:pPr>
              <w:ind w:right="80" w:rightChars="38"/>
              <w:rPr>
                <w:rFonts w:hint="eastAsia" w:ascii="仿宋" w:hAnsi="仿宋" w:eastAsia="仿宋" w:cs="仿宋"/>
                <w:bCs/>
                <w:sz w:val="24"/>
              </w:rPr>
            </w:pPr>
            <w:r>
              <w:rPr>
                <w:rFonts w:hint="eastAsia" w:ascii="仿宋" w:hAnsi="仿宋" w:eastAsia="仿宋" w:cs="仿宋"/>
                <w:b/>
                <w:bCs/>
                <w:sz w:val="24"/>
              </w:rPr>
              <w:t>开户行、账号：</w:t>
            </w:r>
          </w:p>
        </w:tc>
      </w:tr>
      <w:tr w14:paraId="39102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932" w:type="dxa"/>
            <w:noWrap/>
            <w:vAlign w:val="center"/>
          </w:tcPr>
          <w:p w14:paraId="68D94449">
            <w:pPr>
              <w:spacing w:line="360" w:lineRule="exact"/>
              <w:ind w:right="80" w:rightChars="38"/>
              <w:rPr>
                <w:rFonts w:hint="eastAsia" w:ascii="仿宋" w:hAnsi="仿宋" w:eastAsia="仿宋" w:cs="仿宋"/>
                <w:bCs/>
                <w:sz w:val="24"/>
                <w:lang w:val="zh-CN" w:bidi="zh-CN"/>
              </w:rPr>
            </w:pPr>
            <w:r>
              <w:rPr>
                <w:rFonts w:hint="eastAsia" w:ascii="仿宋" w:hAnsi="仿宋" w:eastAsia="仿宋" w:cs="仿宋"/>
                <w:bCs/>
                <w:sz w:val="24"/>
              </w:rPr>
              <w:t>指定收款账户</w:t>
            </w:r>
          </w:p>
        </w:tc>
        <w:tc>
          <w:tcPr>
            <w:tcW w:w="6994" w:type="dxa"/>
            <w:gridSpan w:val="7"/>
            <w:noWrap/>
            <w:vAlign w:val="center"/>
          </w:tcPr>
          <w:p w14:paraId="1CCD8A80">
            <w:pPr>
              <w:spacing w:line="340" w:lineRule="exact"/>
              <w:ind w:right="80" w:rightChars="38"/>
              <w:rPr>
                <w:rFonts w:hint="eastAsia" w:ascii="仿宋" w:hAnsi="仿宋" w:eastAsia="仿宋" w:cs="仿宋"/>
                <w:bCs/>
                <w:sz w:val="24"/>
                <w:lang w:val="ru-RU"/>
              </w:rPr>
            </w:pPr>
            <w:r>
              <w:rPr>
                <w:rFonts w:hint="eastAsia" w:ascii="仿宋" w:hAnsi="仿宋" w:eastAsia="仿宋" w:cs="仿宋"/>
                <w:bCs/>
                <w:sz w:val="24"/>
                <w:lang w:val="ru-RU"/>
              </w:rPr>
              <w:t>户  名：北京建术信息科技研究院有限公司</w:t>
            </w:r>
          </w:p>
          <w:p w14:paraId="50BD2415">
            <w:pPr>
              <w:spacing w:line="340" w:lineRule="exact"/>
              <w:ind w:right="80" w:rightChars="38"/>
              <w:rPr>
                <w:rFonts w:hint="eastAsia" w:ascii="仿宋" w:hAnsi="仿宋" w:eastAsia="仿宋" w:cs="仿宋"/>
                <w:bCs/>
                <w:sz w:val="24"/>
                <w:lang w:val="ru-RU"/>
              </w:rPr>
            </w:pPr>
            <w:r>
              <w:rPr>
                <w:rFonts w:hint="eastAsia" w:ascii="仿宋" w:hAnsi="仿宋" w:eastAsia="仿宋" w:cs="仿宋"/>
                <w:bCs/>
                <w:sz w:val="24"/>
                <w:lang w:val="ru-RU"/>
              </w:rPr>
              <w:t>开户行：中国建设银行股份有限公司北京昌平小汤山支行</w:t>
            </w:r>
          </w:p>
          <w:p w14:paraId="05BEA6AA">
            <w:pPr>
              <w:spacing w:line="340" w:lineRule="exact"/>
              <w:ind w:right="80" w:rightChars="38"/>
              <w:rPr>
                <w:rFonts w:hint="eastAsia" w:ascii="仿宋" w:hAnsi="仿宋" w:eastAsia="仿宋" w:cs="仿宋"/>
                <w:bCs/>
                <w:sz w:val="24"/>
              </w:rPr>
            </w:pPr>
            <w:r>
              <w:rPr>
                <w:rFonts w:hint="eastAsia" w:ascii="仿宋" w:hAnsi="仿宋" w:eastAsia="仿宋" w:cs="仿宋"/>
                <w:bCs/>
                <w:sz w:val="24"/>
                <w:lang w:val="ru-RU"/>
              </w:rPr>
              <w:t>账  号：1105 0110 2401 0900 0164</w:t>
            </w:r>
          </w:p>
          <w:p w14:paraId="6F326AC4">
            <w:pPr>
              <w:spacing w:line="360" w:lineRule="exact"/>
              <w:ind w:right="80" w:rightChars="38"/>
              <w:rPr>
                <w:rFonts w:hint="default" w:ascii="仿宋" w:hAnsi="仿宋" w:eastAsia="仿宋" w:cs="仿宋"/>
                <w:bCs/>
                <w:sz w:val="24"/>
                <w:lang w:val="en-US" w:eastAsia="zh-CN" w:bidi="zh-CN"/>
              </w:rPr>
            </w:pPr>
            <w:r>
              <w:rPr>
                <w:rFonts w:hint="eastAsia" w:ascii="仿宋" w:hAnsi="仿宋" w:eastAsia="仿宋" w:cs="仿宋"/>
                <w:sz w:val="24"/>
              </w:rPr>
              <w:t>汇款后，请将银行电汇凭证传真至：010-87</w:t>
            </w:r>
            <w:r>
              <w:rPr>
                <w:rFonts w:hint="eastAsia" w:ascii="仿宋" w:hAnsi="仿宋" w:eastAsia="仿宋" w:cs="仿宋"/>
                <w:sz w:val="24"/>
                <w:lang w:val="en-US" w:eastAsia="zh-CN"/>
              </w:rPr>
              <w:t>697580</w:t>
            </w:r>
            <w:bookmarkStart w:id="0" w:name="_GoBack"/>
            <w:bookmarkEnd w:id="0"/>
          </w:p>
        </w:tc>
      </w:tr>
      <w:tr w14:paraId="55824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932" w:type="dxa"/>
            <w:noWrap/>
            <w:vAlign w:val="center"/>
          </w:tcPr>
          <w:p w14:paraId="76AB2ADE">
            <w:pPr>
              <w:spacing w:line="360" w:lineRule="exact"/>
              <w:ind w:right="80" w:rightChars="38"/>
              <w:rPr>
                <w:rFonts w:hint="eastAsia" w:ascii="仿宋" w:hAnsi="仿宋" w:eastAsia="仿宋" w:cs="仿宋"/>
                <w:bCs/>
                <w:sz w:val="24"/>
              </w:rPr>
            </w:pPr>
            <w:r>
              <w:rPr>
                <w:rFonts w:hint="eastAsia" w:ascii="仿宋" w:hAnsi="仿宋" w:eastAsia="仿宋" w:cs="仿宋"/>
                <w:bCs/>
                <w:sz w:val="24"/>
              </w:rPr>
              <w:t>参会方式</w:t>
            </w:r>
          </w:p>
        </w:tc>
        <w:tc>
          <w:tcPr>
            <w:tcW w:w="6994" w:type="dxa"/>
            <w:gridSpan w:val="7"/>
            <w:noWrap/>
            <w:vAlign w:val="center"/>
          </w:tcPr>
          <w:p w14:paraId="7C99C4F0">
            <w:pPr>
              <w:spacing w:line="360" w:lineRule="exact"/>
              <w:ind w:right="80" w:rightChars="38"/>
              <w:rPr>
                <w:rFonts w:hint="eastAsia" w:ascii="仿宋" w:hAnsi="仿宋" w:eastAsia="仿宋" w:cs="仿宋"/>
                <w:bCs/>
                <w:sz w:val="24"/>
              </w:rPr>
            </w:pPr>
            <w:r>
              <w:rPr>
                <w:rFonts w:hint="eastAsia" w:ascii="仿宋" w:hAnsi="仿宋" w:eastAsia="仿宋" w:cs="仿宋"/>
                <w:bCs/>
                <w:sz w:val="24"/>
              </w:rPr>
              <w:t>请参会单位把参会回执回传至会务组，会务组确认后即发《参会凭证》，其中将详细注明报到时间、报到地点、食宿等具体安排事项。</w:t>
            </w:r>
          </w:p>
        </w:tc>
      </w:tr>
    </w:tbl>
    <w:p w14:paraId="4AD6B90A">
      <w:pPr>
        <w:keepNext w:val="0"/>
        <w:keepLines w:val="0"/>
        <w:pageBreakBefore w:val="0"/>
        <w:widowControl w:val="0"/>
        <w:kinsoku/>
        <w:wordWrap/>
        <w:overflowPunct/>
        <w:topLinePunct w:val="0"/>
        <w:autoSpaceDE/>
        <w:autoSpaceDN/>
        <w:bidi w:val="0"/>
        <w:adjustRightInd/>
        <w:snapToGrid/>
        <w:spacing w:line="480" w:lineRule="exact"/>
        <w:ind w:right="80" w:rightChars="38" w:firstLine="422" w:firstLineChars="200"/>
        <w:jc w:val="left"/>
        <w:textAlignment w:val="auto"/>
        <w:rPr>
          <w:rStyle w:val="6"/>
          <w:rFonts w:hint="eastAsia" w:ascii="仿宋" w:hAnsi="仿宋" w:eastAsia="仿宋" w:cs="仿宋"/>
          <w:color w:val="000000"/>
          <w:lang w:val="zh-CN"/>
        </w:rPr>
      </w:pPr>
      <w:r>
        <w:rPr>
          <w:rStyle w:val="6"/>
          <w:rFonts w:hint="eastAsia" w:ascii="仿宋" w:hAnsi="仿宋" w:eastAsia="仿宋" w:cs="仿宋"/>
          <w:color w:val="000000"/>
          <w:lang w:val="zh-CN"/>
        </w:rPr>
        <w:t>注：为保证培训质量，培训班名额有限，额满为止，请确定人员后及早报名。</w:t>
      </w:r>
    </w:p>
    <w:p w14:paraId="33234BE7">
      <w:pPr>
        <w:ind w:firstLine="420" w:firstLineChars="200"/>
        <w:rPr>
          <w:rFonts w:hint="eastAsia" w:ascii="仿宋" w:hAnsi="仿宋" w:eastAsia="仿宋" w:cs="仿宋"/>
          <w:bCs/>
        </w:rPr>
      </w:pPr>
      <w:r>
        <w:rPr>
          <w:rFonts w:hint="eastAsia" w:ascii="仿宋" w:hAnsi="仿宋" w:eastAsia="仿宋" w:cs="仿宋"/>
          <w:bCs/>
        </w:rPr>
        <w:t xml:space="preserve">报名负责人：聂红军 主任18211071700（微信）   </w:t>
      </w:r>
    </w:p>
    <w:p w14:paraId="6BB87FC6">
      <w:pPr>
        <w:ind w:firstLine="420" w:firstLineChars="200"/>
        <w:rPr>
          <w:rFonts w:hint="eastAsia" w:ascii="仿宋" w:hAnsi="仿宋" w:eastAsia="仿宋" w:cs="仿宋"/>
          <w:bCs/>
        </w:rPr>
      </w:pPr>
      <w:r>
        <w:rPr>
          <w:rFonts w:hint="eastAsia" w:ascii="仿宋" w:hAnsi="仿宋" w:eastAsia="仿宋" w:cs="仿宋"/>
          <w:bCs/>
        </w:rPr>
        <w:t xml:space="preserve">电    话：13141289128        邮    箱：zqgphwz@126.com  </w:t>
      </w:r>
    </w:p>
    <w:p w14:paraId="676CD3E8">
      <w:pPr>
        <w:ind w:firstLine="420" w:firstLineChars="200"/>
        <w:rPr>
          <w:rFonts w:hint="eastAsia" w:ascii="仿宋" w:hAnsi="仿宋" w:eastAsia="仿宋" w:cs="仿宋"/>
        </w:rPr>
      </w:pPr>
      <w:r>
        <w:rPr>
          <w:rFonts w:hint="eastAsia" w:ascii="仿宋" w:hAnsi="仿宋" w:eastAsia="仿宋" w:cs="仿宋"/>
          <w:bCs/>
        </w:rPr>
        <w:t>qq咨询：3177524020          网    址：http://www.zqgpchina.cn</w:t>
      </w:r>
    </w:p>
    <w:sectPr>
      <w:pgSz w:w="11906" w:h="16838"/>
      <w:pgMar w:top="1270" w:right="1349" w:bottom="1270" w:left="134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1F6026"/>
    <w:multiLevelType w:val="multilevel"/>
    <w:tmpl w:val="0B1F6026"/>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27B165B6"/>
    <w:multiLevelType w:val="multilevel"/>
    <w:tmpl w:val="27B165B6"/>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2A24513F"/>
    <w:multiLevelType w:val="multilevel"/>
    <w:tmpl w:val="2A24513F"/>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2C22579B"/>
    <w:multiLevelType w:val="multilevel"/>
    <w:tmpl w:val="2C22579B"/>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389D1562"/>
    <w:multiLevelType w:val="multilevel"/>
    <w:tmpl w:val="389D1562"/>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411801FC"/>
    <w:multiLevelType w:val="multilevel"/>
    <w:tmpl w:val="411801FC"/>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4B436AF7"/>
    <w:multiLevelType w:val="singleLevel"/>
    <w:tmpl w:val="4B436AF7"/>
    <w:lvl w:ilvl="0" w:tentative="0">
      <w:start w:val="4"/>
      <w:numFmt w:val="upperLetter"/>
      <w:lvlText w:val="%1."/>
      <w:lvlJc w:val="left"/>
      <w:pPr>
        <w:tabs>
          <w:tab w:val="left" w:pos="312"/>
        </w:tabs>
      </w:pPr>
    </w:lvl>
  </w:abstractNum>
  <w:abstractNum w:abstractNumId="7">
    <w:nsid w:val="574C569D"/>
    <w:multiLevelType w:val="multilevel"/>
    <w:tmpl w:val="574C569D"/>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
    <w:nsid w:val="5BC32167"/>
    <w:multiLevelType w:val="multilevel"/>
    <w:tmpl w:val="5BC32167"/>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
    <w:nsid w:val="6E7E2780"/>
    <w:multiLevelType w:val="multilevel"/>
    <w:tmpl w:val="6E7E2780"/>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
    <w:nsid w:val="7CB63412"/>
    <w:multiLevelType w:val="multilevel"/>
    <w:tmpl w:val="7CB63412"/>
    <w:lvl w:ilvl="0" w:tentative="0">
      <w:start w:val="1"/>
      <w:numFmt w:val="japaneseCounting"/>
      <w:lvlText w:val="%1、"/>
      <w:lvlJc w:val="left"/>
      <w:pPr>
        <w:ind w:left="432" w:hanging="432"/>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0"/>
  </w:num>
  <w:num w:numId="2">
    <w:abstractNumId w:val="1"/>
  </w:num>
  <w:num w:numId="3">
    <w:abstractNumId w:val="8"/>
  </w:num>
  <w:num w:numId="4">
    <w:abstractNumId w:val="2"/>
  </w:num>
  <w:num w:numId="5">
    <w:abstractNumId w:val="4"/>
  </w:num>
  <w:num w:numId="6">
    <w:abstractNumId w:val="9"/>
  </w:num>
  <w:num w:numId="7">
    <w:abstractNumId w:val="3"/>
  </w:num>
  <w:num w:numId="8">
    <w:abstractNumId w:val="0"/>
  </w:num>
  <w:num w:numId="9">
    <w:abstractNumId w:val="5"/>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iMWU4NjE2ZThjZWFmNTIyNjY1N2Y2MGM4NGU0YzgifQ=="/>
  </w:docVars>
  <w:rsids>
    <w:rsidRoot w:val="52BA4540"/>
    <w:rsid w:val="03A64800"/>
    <w:rsid w:val="06625025"/>
    <w:rsid w:val="11F64E25"/>
    <w:rsid w:val="14535E5C"/>
    <w:rsid w:val="15E2762C"/>
    <w:rsid w:val="16361799"/>
    <w:rsid w:val="2FD1171D"/>
    <w:rsid w:val="366D1B57"/>
    <w:rsid w:val="3B2553EF"/>
    <w:rsid w:val="433429C6"/>
    <w:rsid w:val="52BA45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next w:val="1"/>
    <w:qFormat/>
    <w:uiPriority w:val="0"/>
    <w:pPr>
      <w:spacing w:after="120"/>
      <w:ind w:left="420" w:leftChars="200"/>
    </w:pPr>
    <w:rPr>
      <w:rFonts w:ascii="Times New Roman" w:hAnsi="Times New Roman"/>
    </w:rPr>
  </w:style>
  <w:style w:type="paragraph" w:styleId="3">
    <w:name w:val="Body Text First Indent 2"/>
    <w:basedOn w:val="2"/>
    <w:qFormat/>
    <w:uiPriority w:val="99"/>
    <w:pPr>
      <w:ind w:firstLine="420" w:firstLineChars="200"/>
    </w:pPr>
    <w:rPr>
      <w:sz w:val="24"/>
    </w:rPr>
  </w:style>
  <w:style w:type="character" w:styleId="6">
    <w:name w:val="Strong"/>
    <w:basedOn w:val="5"/>
    <w:qFormat/>
    <w:uiPriority w:val="22"/>
    <w:rPr>
      <w:rFonts w:ascii="Times New Roman" w:hAnsi="Times New Roman" w:eastAsia="宋体" w:cs="Times New Roman"/>
      <w:b/>
      <w:bCs/>
    </w:rPr>
  </w:style>
  <w:style w:type="character" w:styleId="7">
    <w:name w:val="Hyperlink"/>
    <w:basedOn w:val="5"/>
    <w:qFormat/>
    <w:uiPriority w:val="0"/>
    <w:rPr>
      <w:color w:val="0000FF"/>
      <w:u w:val="single"/>
    </w:rPr>
  </w:style>
  <w:style w:type="paragraph" w:styleId="8">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6002</Words>
  <Characters>6351</Characters>
  <Lines>0</Lines>
  <Paragraphs>0</Paragraphs>
  <TotalTime>4</TotalTime>
  <ScaleCrop>false</ScaleCrop>
  <LinksUpToDate>false</LinksUpToDate>
  <CharactersWithSpaces>6469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2024-05-13T06:46:00Z</dcterms:created>
  <dc:creator>姣 儿</dc:creator>
  <cp:lastModifiedBy>聂红军</cp:lastModifiedBy>
  <dcterms:modified xsi:type="dcterms:W3CDTF">2025-08-25T00:29:10Z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BE42BFB28D3D47B0982AF6E5B6245E36_13</vt:lpwstr>
  </property>
  <property fmtid="{D5CDD505-2E9C-101B-9397-08002B2CF9AE}" pid="4" name="KSOTemplateDocerSaveRecord">
    <vt:lpwstr>eyJoZGlkIjoiZTUyMWM5NTU3NmQwMzYzZGY2NjUyMjZkNDUzMDVhNDkiLCJ1c2VySWQiOiI0OTM4MTE0ODQifQ==</vt:lpwstr>
  </property>
</Properties>
</file>