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86616">
      <w:pPr>
        <w:adjustRightInd w:val="0"/>
        <w:snapToGrid w:val="0"/>
        <w:ind w:right="122"/>
        <w:jc w:val="center"/>
        <w:rPr>
          <w:rFonts w:hint="eastAsia" w:ascii="宋体" w:hAnsi="宋体" w:cs="宋体"/>
          <w:b/>
          <w:color w:val="FF0000"/>
          <w:spacing w:val="91"/>
          <w:sz w:val="72"/>
          <w:szCs w:val="72"/>
        </w:rPr>
      </w:pPr>
      <w:r>
        <w:rPr>
          <w:rFonts w:hint="eastAsia" w:ascii="宋体" w:hAnsi="宋体" w:cs="宋体"/>
          <w:b/>
          <w:color w:val="FF0000"/>
          <w:spacing w:val="96"/>
          <w:sz w:val="72"/>
          <w:szCs w:val="72"/>
        </w:rPr>
        <w:t>中国国际工程咨询协会</w:t>
      </w:r>
    </w:p>
    <w:p w14:paraId="1BB13B8D">
      <w:pPr>
        <w:adjustRightInd w:val="0"/>
        <w:snapToGrid w:val="0"/>
        <w:spacing w:line="360" w:lineRule="auto"/>
        <w:ind w:right="122"/>
        <w:jc w:val="center"/>
      </w:pPr>
      <w:r>
        <w:rPr>
          <w:rFonts w:ascii="仿宋" w:hAnsi="仿宋" w:eastAsia="仿宋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124460</wp:posOffset>
                </wp:positionV>
                <wp:extent cx="6219825" cy="1270"/>
                <wp:effectExtent l="0" t="12700" r="3175" b="24130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127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2" o:spid="_x0000_s1026" o:spt="32" type="#_x0000_t32" style="position:absolute;left:0pt;margin-left:-2.55pt;margin-top:9.8pt;height:0.1pt;width:489.75pt;z-index:251660288;mso-width-relative:page;mso-height-relative:page;" filled="f" stroked="t" coordsize="21600,21600" o:gfxdata="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D5irA1wAAAAgBAAAPAAAAAAAAAAEAIAAAACIAAABkcnMvZG93&#10;bnJldi54bWxQSwECFAAUAAAACACHTuJAjAu30wECAAD4AwAADgAAAAAAAAABACAAAAAmAQAAZHJz&#10;L2Uyb0RvYy54bWxQSwUGAAAAAAYABgBZAQAAmQUAAAAA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b/>
          <w:sz w:val="30"/>
          <w:szCs w:val="30"/>
        </w:rPr>
        <w:t xml:space="preserve">    </w:t>
      </w:r>
    </w:p>
    <w:p w14:paraId="794656E0">
      <w:pPr>
        <w:adjustRightInd w:val="0"/>
        <w:snapToGrid w:val="0"/>
        <w:spacing w:line="480" w:lineRule="exact"/>
        <w:ind w:right="119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 w14:paraId="1A7FDA98">
      <w:pPr>
        <w:adjustRightInd w:val="0"/>
        <w:snapToGrid w:val="0"/>
        <w:spacing w:line="480" w:lineRule="exact"/>
        <w:ind w:right="119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 xml:space="preserve">  关于举办“《建设工程工程量清单计价标准》(GB/T50500-2024)等十项标准应用解读、合同风险揭示与防范暨建设项目全过程造价管控与审计、财评实操专题培训班”</w:t>
      </w:r>
    </w:p>
    <w:p w14:paraId="35F1BF94">
      <w:pPr>
        <w:adjustRightInd w:val="0"/>
        <w:snapToGrid w:val="0"/>
        <w:spacing w:line="480" w:lineRule="exact"/>
        <w:ind w:right="119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的通知</w:t>
      </w:r>
    </w:p>
    <w:p w14:paraId="164F59C0">
      <w:pPr>
        <w:adjustRightInd w:val="0"/>
        <w:snapToGrid w:val="0"/>
        <w:spacing w:line="480" w:lineRule="exact"/>
        <w:ind w:right="119" w:firstLine="1792" w:firstLineChars="700"/>
      </w:pPr>
      <w:r>
        <w:rPr>
          <w:rFonts w:hint="eastAsia" w:ascii="仿宋" w:hAnsi="仿宋" w:eastAsia="仿宋" w:cs="FangSong_GB2312"/>
          <w:color w:val="000000"/>
          <w:spacing w:val="-12"/>
          <w:sz w:val="28"/>
          <w:szCs w:val="28"/>
        </w:rPr>
        <w:t xml:space="preserve">                                       </w:t>
      </w:r>
    </w:p>
    <w:p w14:paraId="7D32CB13">
      <w:pPr>
        <w:pStyle w:val="6"/>
        <w:shd w:val="clear" w:color="FFFFFF" w:fill="FFFFFF"/>
        <w:spacing w:before="0" w:beforeAutospacing="0" w:after="0" w:afterAutospacing="0" w:line="480" w:lineRule="exact"/>
        <w:ind w:right="122"/>
        <w:jc w:val="center"/>
        <w:rPr>
          <w:rStyle w:val="10"/>
          <w:rFonts w:hint="eastAsia" w:ascii="仿宋" w:hAnsi="仿宋" w:eastAsia="仿宋" w:cs="仿宋"/>
          <w:color w:val="3E3E3E"/>
        </w:rPr>
      </w:pPr>
      <w:r>
        <w:rPr>
          <w:rFonts w:hint="eastAsia" w:ascii="仿宋" w:hAnsi="仿宋" w:eastAsia="仿宋" w:cs="FangSong_GB2312"/>
          <w:color w:val="000000"/>
          <w:spacing w:val="-12"/>
          <w:sz w:val="28"/>
          <w:szCs w:val="28"/>
        </w:rPr>
        <w:t xml:space="preserve">                                                                国咨协[2025]</w:t>
      </w:r>
      <w:r>
        <w:rPr>
          <w:rFonts w:hint="eastAsia" w:ascii="仿宋" w:hAnsi="仿宋" w:eastAsia="仿宋" w:cs="FangSong_GB2312"/>
          <w:color w:val="000000"/>
          <w:spacing w:val="-12"/>
          <w:sz w:val="28"/>
          <w:szCs w:val="28"/>
          <w:lang w:val="en-US" w:eastAsia="zh-CN"/>
        </w:rPr>
        <w:t>112</w:t>
      </w:r>
      <w:r>
        <w:rPr>
          <w:rFonts w:hint="eastAsia" w:ascii="仿宋" w:hAnsi="仿宋" w:eastAsia="仿宋" w:cs="FangSong_GB2312"/>
          <w:color w:val="000000"/>
          <w:spacing w:val="-12"/>
          <w:sz w:val="28"/>
          <w:szCs w:val="28"/>
        </w:rPr>
        <w:t>号</w:t>
      </w:r>
    </w:p>
    <w:p w14:paraId="20A59E2D">
      <w:pPr>
        <w:pStyle w:val="6"/>
        <w:shd w:val="clear" w:color="FFFFFF" w:fill="FFFFFF"/>
        <w:spacing w:before="0" w:beforeAutospacing="0" w:after="0" w:afterAutospacing="0"/>
        <w:ind w:right="119"/>
        <w:rPr>
          <w:rStyle w:val="10"/>
          <w:rFonts w:hint="eastAsia" w:ascii="仿宋" w:hAnsi="仿宋" w:eastAsia="仿宋" w:cs="仿宋"/>
          <w:color w:val="3E3E3E"/>
          <w:sz w:val="28"/>
          <w:szCs w:val="28"/>
        </w:rPr>
      </w:pPr>
    </w:p>
    <w:p w14:paraId="0CB1EB02">
      <w:pPr>
        <w:pStyle w:val="6"/>
        <w:shd w:val="clear" w:color="FFFFFF" w:fill="FFFFFF"/>
        <w:spacing w:before="0" w:beforeAutospacing="0" w:after="0" w:afterAutospacing="0"/>
        <w:ind w:right="119"/>
        <w:rPr>
          <w:rStyle w:val="10"/>
          <w:rFonts w:hint="eastAsia" w:ascii="仿宋" w:hAnsi="仿宋" w:eastAsia="仿宋" w:cs="仿宋"/>
          <w:color w:val="3E3E3E"/>
          <w:sz w:val="28"/>
          <w:szCs w:val="28"/>
        </w:rPr>
      </w:pPr>
      <w:r>
        <w:rPr>
          <w:rStyle w:val="10"/>
          <w:rFonts w:hint="eastAsia" w:ascii="仿宋" w:hAnsi="仿宋" w:eastAsia="仿宋" w:cs="仿宋"/>
          <w:color w:val="3E3E3E"/>
          <w:sz w:val="28"/>
          <w:szCs w:val="28"/>
        </w:rPr>
        <w:t>各有关单位：</w:t>
      </w:r>
    </w:p>
    <w:p w14:paraId="05A4AC8E">
      <w:pPr>
        <w:pStyle w:val="6"/>
        <w:shd w:val="clear" w:color="FFFFFF" w:fill="FFFFFF"/>
        <w:spacing w:before="0" w:beforeAutospacing="0" w:after="0" w:afterAutospacing="0" w:line="500" w:lineRule="exact"/>
        <w:ind w:right="119" w:firstLine="560" w:firstLineChars="200"/>
        <w:rPr>
          <w:rStyle w:val="10"/>
          <w:rFonts w:hint="eastAsia" w:ascii="仿宋" w:hAnsi="仿宋" w:eastAsia="仿宋" w:cs="仿宋"/>
          <w:b w:val="0"/>
          <w:bCs w:val="0"/>
          <w:color w:val="3E3E3E"/>
          <w:sz w:val="28"/>
          <w:szCs w:val="28"/>
          <w:lang w:val="en-US" w:eastAsia="zh-CN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3E3E3E"/>
          <w:sz w:val="28"/>
          <w:szCs w:val="28"/>
          <w:lang w:val="en-US" w:eastAsia="zh-CN"/>
        </w:rPr>
        <w:t>《建设工程工程量清单计价标准》(GB/T 50500-2024)和《房屋建筑与装饰工程工程量计算标准》(GB/T 50854-2024)、《仿古建筑工程工程量计算标准》(GB/T 50855-2024)、《通用安装工程工程量计算标准》(GB/T 50856-2024)、《市政工程工程量计算标准》(GB/T 50857-2024)、《园林绿化工程工程量计算标准》(GB/T 50858-2024)、《矿山工程工程量计算标准》(GB/T 50859-2024)、《构筑物工程工程量计算标准》(GB/T 50860-2024)、《城市轨道交通工程工程量计算标准》(GB/T 50861-2024)、《爆破工程工程量计算标准》(GB/T 50862-2024)等十项国家标准（以下简称“2024版清单计价计算标准”）全面实施，2024版清单计价计算标准的实施，本质上是推动工程造价管理从静态、分割、依定额的模式，向动态、全过程、市场化的模式转型升级。</w:t>
      </w:r>
    </w:p>
    <w:p w14:paraId="01A28BD3">
      <w:pPr>
        <w:pStyle w:val="6"/>
        <w:shd w:val="clear" w:color="FFFFFF" w:fill="FFFFFF"/>
        <w:spacing w:before="0" w:beforeAutospacing="0" w:after="0" w:afterAutospacing="0" w:line="500" w:lineRule="exact"/>
        <w:ind w:right="119" w:firstLine="560" w:firstLineChars="200"/>
        <w:rPr>
          <w:rStyle w:val="10"/>
          <w:rFonts w:hint="eastAsia" w:ascii="仿宋" w:hAnsi="仿宋" w:eastAsia="仿宋" w:cs="仿宋"/>
          <w:b w:val="0"/>
          <w:bCs w:val="0"/>
          <w:color w:val="3E3E3E"/>
          <w:sz w:val="28"/>
          <w:szCs w:val="28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3E3E3E"/>
          <w:sz w:val="28"/>
          <w:szCs w:val="28"/>
          <w:lang w:val="en-US" w:eastAsia="zh-CN"/>
        </w:rPr>
        <w:t>为了进一步</w:t>
      </w:r>
      <w:r>
        <w:rPr>
          <w:rStyle w:val="10"/>
          <w:rFonts w:hint="eastAsia" w:ascii="仿宋" w:hAnsi="仿宋" w:eastAsia="仿宋" w:cs="仿宋"/>
          <w:b w:val="0"/>
          <w:bCs w:val="0"/>
          <w:color w:val="3E3E3E"/>
          <w:sz w:val="28"/>
          <w:szCs w:val="28"/>
        </w:rPr>
        <w:t>规范施工发承包及实施阶段的工程计量计价规则和方法，持续深化工程造价市场化改革，推动工程造价管理高质量发展，我会决定举办</w:t>
      </w:r>
      <w:r>
        <w:rPr>
          <w:rStyle w:val="10"/>
          <w:rFonts w:hint="eastAsia" w:ascii="仿宋" w:hAnsi="仿宋" w:eastAsia="仿宋" w:cs="仿宋"/>
          <w:color w:val="3E3E3E"/>
          <w:sz w:val="28"/>
          <w:szCs w:val="28"/>
        </w:rPr>
        <w:t>“《建设工程工程量清单计价标准》(GB/T50500-2024)等十项标准应用解读、合同风险揭示与防范暨建设项目全过程造价管控与审计、财评实操专题培训班”</w:t>
      </w:r>
      <w:r>
        <w:rPr>
          <w:rStyle w:val="10"/>
          <w:rFonts w:hint="eastAsia" w:ascii="仿宋" w:hAnsi="仿宋" w:eastAsia="仿宋" w:cs="仿宋"/>
          <w:b w:val="0"/>
          <w:bCs w:val="0"/>
          <w:color w:val="3E3E3E"/>
          <w:sz w:val="28"/>
          <w:szCs w:val="28"/>
        </w:rPr>
        <w:t>。</w:t>
      </w:r>
    </w:p>
    <w:p w14:paraId="5812C56C">
      <w:pPr>
        <w:pStyle w:val="6"/>
        <w:shd w:val="clear" w:color="FFFFFF" w:fill="FFFFFF"/>
        <w:spacing w:before="0" w:beforeAutospacing="0" w:after="0" w:afterAutospacing="0" w:line="500" w:lineRule="exact"/>
        <w:ind w:right="119" w:firstLine="560" w:firstLineChars="200"/>
        <w:rPr>
          <w:rStyle w:val="10"/>
          <w:rFonts w:hint="eastAsia" w:ascii="仿宋" w:hAnsi="仿宋" w:eastAsia="仿宋" w:cs="仿宋"/>
          <w:b w:val="0"/>
          <w:bCs w:val="0"/>
          <w:color w:val="3E3E3E"/>
          <w:sz w:val="28"/>
          <w:szCs w:val="28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3E3E3E"/>
          <w:sz w:val="28"/>
          <w:szCs w:val="28"/>
        </w:rPr>
        <w:t>培训结束后颁发中国国际工程咨询协会培训结业证书，请各单位积极组织本单位及下属单位相关人员参加。</w:t>
      </w:r>
    </w:p>
    <w:p w14:paraId="632C9F64">
      <w:pPr>
        <w:spacing w:line="500" w:lineRule="exact"/>
        <w:ind w:right="11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一、培训收益</w:t>
      </w:r>
    </w:p>
    <w:p w14:paraId="1638C290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（一）系统性掌握2024版清单计价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计算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新标准​</w:t>
      </w:r>
    </w:p>
    <w:p w14:paraId="31887777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权威解读十大国标​</w:t>
      </w:r>
    </w:p>
    <w:p w14:paraId="7650820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hint="eastAsia" w:ascii="仿宋" w:hAnsi="仿宋" w:eastAsia="仿宋" w:cs="仿宋"/>
          <w:sz w:val="28"/>
          <w:szCs w:val="28"/>
        </w:rPr>
        <w:t>深度解析《建设工程工程量清单计价标准》（GB/T 50500-2024）及九大专业工程量计算标准（房屋建筑、市政、安装工程等）的核心修订内容。</w:t>
      </w:r>
    </w:p>
    <w:p w14:paraId="03E0A232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⚫厘清术语变化（如删除“招标控制价”）、计价方式（单价/总价合同边界）、风险分担原则等关键条款。</w:t>
      </w:r>
    </w:p>
    <w:p w14:paraId="130E34A1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解决实操痛点问题​</w:t>
      </w:r>
    </w:p>
    <w:p w14:paraId="23B41A2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sz w:val="28"/>
          <w:szCs w:val="28"/>
        </w:rPr>
        <w:t>清单漏项/错项的责任认定标准（是否可预见、发现义务）。</w:t>
      </w:r>
    </w:p>
    <w:p w14:paraId="04E2EB83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⚫措施项目优化后的费用归属、总承包服务费计取规则变更。</w:t>
      </w:r>
    </w:p>
    <w:p w14:paraId="1D75A25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⚫市场价格波动调价机制（阈值设定、公式应用）与法律变化应对。</w:t>
      </w:r>
    </w:p>
    <w:p w14:paraId="3DF390F6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（二）合同风险全链条防控能力提升​</w:t>
      </w:r>
    </w:p>
    <w:p w14:paraId="5BAE9E4A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风险识别与条款设计</w:t>
      </w:r>
    </w:p>
    <w:p w14:paraId="6826E4E5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hint="eastAsia" w:ascii="仿宋" w:hAnsi="仿宋" w:eastAsia="仿宋" w:cs="仿宋"/>
          <w:sz w:val="28"/>
          <w:szCs w:val="28"/>
        </w:rPr>
        <w:t>剖析合同价格形式（固定单价/总价/混合形式）的合规性与风险点。</w:t>
      </w:r>
    </w:p>
    <w:p w14:paraId="23D6FFF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⚫明确变更估价、新增工程、期中付款、过程结算的约束力及法律效力。</w:t>
      </w:r>
    </w:p>
    <w:p w14:paraId="5163DBF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⚫规避常见陷阱：不平衡报价、暂估价争议、风险范围界定模糊等。</w:t>
      </w:r>
    </w:p>
    <w:p w14:paraId="568F569D">
      <w:pPr>
        <w:ind w:firstLine="562" w:firstLineChars="200"/>
        <w:rPr>
          <w:rFonts w:ascii="Cambria Math" w:hAnsi="Cambria Math" w:eastAsia="仿宋" w:cs="Cambria Math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  <w:r>
        <w:rPr>
          <w:rFonts w:ascii="仿宋" w:hAnsi="仿宋" w:eastAsia="仿宋"/>
          <w:b/>
          <w:bCs/>
          <w:sz w:val="28"/>
          <w:szCs w:val="28"/>
        </w:rPr>
        <w:t>索赔与反索赔策略</w:t>
      </w:r>
      <w:r>
        <w:rPr>
          <w:rFonts w:ascii="Cambria Math" w:hAnsi="Cambria Math" w:eastAsia="仿宋" w:cs="Cambria Math"/>
          <w:sz w:val="28"/>
          <w:szCs w:val="28"/>
        </w:rPr>
        <w:t>​</w:t>
      </w:r>
    </w:p>
    <w:p w14:paraId="61FB966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hint="eastAsia" w:ascii="仿宋" w:hAnsi="仿宋" w:eastAsia="仿宋" w:cs="仿宋"/>
          <w:sz w:val="28"/>
          <w:szCs w:val="28"/>
        </w:rPr>
        <w:t>掌握索赔事件认定、因果关系举证、损失量化及时效管理要点。</w:t>
      </w:r>
    </w:p>
    <w:p w14:paraId="1C39EE67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⚫学习签证管理规范，确保过程文件合法有效（一事一签、证据链完整）</w:t>
      </w:r>
    </w:p>
    <w:p w14:paraId="4BF29899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（三）建设项目全过程造价精细化管控​</w:t>
      </w:r>
    </w:p>
    <w:p w14:paraId="37D76D02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五阶段核心问题解决方案​</w:t>
      </w:r>
    </w:p>
    <w:p w14:paraId="63B7D27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ascii="仿宋" w:hAnsi="仿宋" w:eastAsia="仿宋"/>
          <w:b/>
          <w:bCs/>
          <w:sz w:val="28"/>
          <w:szCs w:val="28"/>
        </w:rPr>
        <w:t>招投标阶段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清单编制避错、限价编制原则、暂估价招标策略。</w:t>
      </w:r>
    </w:p>
    <w:p w14:paraId="1DDCBBBB">
      <w:pPr>
        <w:spacing w:line="500" w:lineRule="exact"/>
        <w:ind w:right="119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合同签订阶段</w:t>
      </w:r>
      <w:r>
        <w:rPr>
          <w:rFonts w:hint="eastAsia" w:ascii="仿宋" w:hAnsi="仿宋" w:eastAsia="仿宋" w:cs="仿宋"/>
          <w:sz w:val="28"/>
          <w:szCs w:val="28"/>
        </w:rPr>
        <w:t>：黑白合同识别、文件冲突处理、风险包干范围界定</w:t>
      </w:r>
      <w:r>
        <w:rPr>
          <w:rFonts w:ascii="仿宋" w:hAnsi="仿宋" w:eastAsia="仿宋"/>
          <w:sz w:val="28"/>
          <w:szCs w:val="28"/>
        </w:rPr>
        <w:t>。</w:t>
      </w:r>
    </w:p>
    <w:p w14:paraId="74A1642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ascii="仿宋" w:hAnsi="仿宋" w:eastAsia="仿宋"/>
          <w:b/>
          <w:bCs/>
          <w:sz w:val="28"/>
          <w:szCs w:val="28"/>
        </w:rPr>
        <w:t>履约阶段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设计变更调价、措施费调整、停工索赔依据。</w:t>
      </w:r>
    </w:p>
    <w:p w14:paraId="020D2E0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结算阶段</w:t>
      </w:r>
      <w:r>
        <w:rPr>
          <w:rFonts w:hint="eastAsia" w:ascii="仿宋" w:hAnsi="仿宋" w:eastAsia="仿宋" w:cs="仿宋"/>
          <w:sz w:val="28"/>
          <w:szCs w:val="28"/>
        </w:rPr>
        <w:t>：未完工项目取费、甲供材扣除、材料调差实操。</w:t>
      </w:r>
    </w:p>
    <w:p w14:paraId="29BC531E">
      <w:pPr>
        <w:spacing w:line="500" w:lineRule="exact"/>
        <w:ind w:right="119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审计财评阶段</w:t>
      </w:r>
      <w:r>
        <w:rPr>
          <w:rFonts w:hint="eastAsia" w:ascii="仿宋" w:hAnsi="仿宋" w:eastAsia="仿宋" w:cs="仿宋"/>
          <w:sz w:val="28"/>
          <w:szCs w:val="28"/>
        </w:rPr>
        <w:t>：争议解决路径、不平衡报价审计、财政评审权限边界。</w:t>
      </w:r>
    </w:p>
    <w:p w14:paraId="6B254A43">
      <w:pPr>
        <w:ind w:firstLine="562" w:firstLineChars="200"/>
        <w:rPr>
          <w:rFonts w:ascii="Cambria Math" w:hAnsi="Cambria Math" w:eastAsia="仿宋" w:cs="Cambria Math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2.</w:t>
      </w:r>
      <w:r>
        <w:rPr>
          <w:rFonts w:ascii="仿宋" w:hAnsi="仿宋" w:eastAsia="仿宋"/>
          <w:b/>
          <w:bCs/>
          <w:sz w:val="28"/>
          <w:szCs w:val="28"/>
        </w:rPr>
        <w:t>60+高频争议案例解析</w:t>
      </w:r>
      <w:r>
        <w:rPr>
          <w:rFonts w:ascii="Cambria Math" w:hAnsi="Cambria Math" w:eastAsia="仿宋" w:cs="Cambria Math"/>
          <w:sz w:val="28"/>
          <w:szCs w:val="28"/>
        </w:rPr>
        <w:t>​</w:t>
      </w:r>
    </w:p>
    <w:p w14:paraId="228C90A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hint="eastAsia" w:ascii="仿宋" w:hAnsi="仿宋" w:eastAsia="仿宋" w:cs="仿宋"/>
          <w:sz w:val="28"/>
          <w:szCs w:val="28"/>
        </w:rPr>
        <w:t>覆盖招标无效认定、图纸深化费用承担、措施费据实结算等典型场景。</w:t>
      </w:r>
    </w:p>
    <w:p w14:paraId="79373BE3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⚫提供审计推翻认质认价、超量扣减等场景的合法应对策略。</w:t>
      </w:r>
    </w:p>
    <w:p w14:paraId="3D2E62EC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（四）适应行业转型与数字化趋势​</w:t>
      </w:r>
    </w:p>
    <w:p w14:paraId="28EE4643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造价管理新模式落地​</w:t>
      </w:r>
    </w:p>
    <w:p w14:paraId="0EEE8E7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hint="eastAsia" w:ascii="仿宋" w:hAnsi="仿宋" w:eastAsia="仿宋" w:cs="仿宋"/>
          <w:sz w:val="28"/>
          <w:szCs w:val="28"/>
        </w:rPr>
        <w:t>从静态定额转向动态市场化计价，建立企业数据库与成本管控体系。</w:t>
      </w:r>
    </w:p>
    <w:p w14:paraId="3FFC537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⚫应用BIM技术提升工程量计算精度，实现全过程成本动态监控。</w:t>
      </w:r>
    </w:p>
    <w:p w14:paraId="773131F6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2.审计财评角色升级​</w:t>
      </w:r>
    </w:p>
    <w:p w14:paraId="7630C7F4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⚫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从"事后审价"转向"全</w:t>
      </w:r>
      <w:r>
        <w:rPr>
          <w:rFonts w:hint="eastAsia" w:ascii="仿宋" w:hAnsi="仿宋" w:eastAsia="仿宋" w:cs="仿宋"/>
          <w:sz w:val="28"/>
          <w:szCs w:val="28"/>
        </w:rPr>
        <w:t>过程监督"，掌握跟踪审计介入时点与方法。</w:t>
      </w:r>
    </w:p>
    <w:p w14:paraId="76D2DDB7">
      <w:pPr>
        <w:spacing w:line="500" w:lineRule="exact"/>
        <w:ind w:right="119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⚫利用信息技术提升审计效能（如数字化工具快速比对结算数据）。</w:t>
      </w:r>
    </w:p>
    <w:p w14:paraId="39CA986B">
      <w:pPr>
        <w:spacing w:line="500" w:lineRule="exact"/>
        <w:ind w:right="11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二、培训内容</w:t>
      </w:r>
    </w:p>
    <w:p w14:paraId="2C46067B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（一）2024版《建设工程工程量清单计价标准》——合同风险揭示与防范</w:t>
      </w:r>
    </w:p>
    <w:p w14:paraId="15736CB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1.适用范围与清单法律性质</w:t>
      </w:r>
    </w:p>
    <w:p w14:paraId="081E354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2.术语的重要变化与影响</w:t>
      </w:r>
    </w:p>
    <w:p w14:paraId="09EF5A6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(1)费率计价项目的风险理解</w:t>
      </w:r>
    </w:p>
    <w:p w14:paraId="3E6C31A8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(2)总承包服务费性质</w:t>
      </w:r>
    </w:p>
    <w:p w14:paraId="57B9C6C2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(3)合同清单与投标价的区别</w:t>
      </w:r>
    </w:p>
    <w:p w14:paraId="0D0ADA52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(4)删除原招标控制价术语</w:t>
      </w:r>
    </w:p>
    <w:p w14:paraId="74662718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3.计价方式与合同价格形式</w:t>
      </w:r>
    </w:p>
    <w:p w14:paraId="0DF6C37A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(1)是否存在既固定单价又固定总价合同吗？</w:t>
      </w:r>
    </w:p>
    <w:p w14:paraId="4EB5C742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(2)或者混合价格形式的合同？</w:t>
      </w:r>
    </w:p>
    <w:p w14:paraId="2EAA01B3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4.计价风险与投标报价注意</w:t>
      </w:r>
    </w:p>
    <w:p w14:paraId="4B0FF7E2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(1)未按照招标条件填报暂列金额，竣工结算是否扣减？</w:t>
      </w:r>
    </w:p>
    <w:p w14:paraId="3EA57A5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5.清单漏错项风险与履约承担</w:t>
      </w:r>
    </w:p>
    <w:p w14:paraId="6D53EC6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(1)关注错误的性质与成因；发现的义务；不可预见的认定标准？</w:t>
      </w:r>
    </w:p>
    <w:p w14:paraId="47A1AC4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6.变更估价与新增工程</w:t>
      </w:r>
    </w:p>
    <w:p w14:paraId="205AC662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7.市场价格调整与法律变化</w:t>
      </w:r>
    </w:p>
    <w:p w14:paraId="557965F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(1)约定的调价与索赔、违约引起的调价应当予以区分</w:t>
      </w:r>
    </w:p>
    <w:p w14:paraId="2D4A39D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(2)调价的方法予以关注</w:t>
      </w:r>
    </w:p>
    <w:p w14:paraId="139A6113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8.期中付款与过程结算的约束力</w:t>
      </w:r>
    </w:p>
    <w:p w14:paraId="248AD99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(1)结算的发起与实施的权利义务</w:t>
      </w:r>
    </w:p>
    <w:p w14:paraId="7DC943F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(2)过程结算的法律约束力、与进度款证书的区别？</w:t>
      </w:r>
    </w:p>
    <w:p w14:paraId="2D419F6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9.总包服务费的变化与应对</w:t>
      </w:r>
    </w:p>
    <w:p w14:paraId="498D9E5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(1)关注服务方案、工作清单、费率计算基础、支付分解、变更等引发调整、优化管理利益</w:t>
      </w:r>
    </w:p>
    <w:p w14:paraId="5901557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10.措施费的分类与变化应对</w:t>
      </w:r>
    </w:p>
    <w:p w14:paraId="23387D7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(1)措施项目清单编制的十个要素，如何获得编制经验，并确保结果合理</w:t>
      </w:r>
    </w:p>
    <w:p w14:paraId="4932F44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(2)承包人优化措施后的费用利益归属？</w:t>
      </w:r>
    </w:p>
    <w:p w14:paraId="42D2601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11.再讲索赔的风险与应对</w:t>
      </w:r>
    </w:p>
    <w:p w14:paraId="1BBE69A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(1)关注索赔事件、索赔因果关系、损失大小、索赔时限</w:t>
      </w:r>
    </w:p>
    <w:p w14:paraId="72E887E1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2024版十项清单计价计算标准理解应用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实务</w:t>
      </w:r>
    </w:p>
    <w:p w14:paraId="06A793DA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 xml:space="preserve">）2024版清单计价计算标准实施后全过程造价精细化管理 </w:t>
      </w:r>
    </w:p>
    <w:p w14:paraId="65DFC7B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1.招标中工程量清单编制常见错误及规避对策</w:t>
      </w:r>
    </w:p>
    <w:p w14:paraId="54FCC5AA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2.最高投标限价编制的原则及投标人投诉的对策</w:t>
      </w:r>
    </w:p>
    <w:p w14:paraId="0037E7F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3.招标文件与评标方法拟定技巧</w:t>
      </w:r>
    </w:p>
    <w:p w14:paraId="7BCAED6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4.暂估材料单价和专业工程暂估价的招标建议</w:t>
      </w:r>
    </w:p>
    <w:p w14:paraId="33039B1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5.投标人投标报价策略及注意事项</w:t>
      </w:r>
    </w:p>
    <w:p w14:paraId="2C61621A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6.招投标阶段发包人注意事项</w:t>
      </w:r>
    </w:p>
    <w:p w14:paraId="2EFD4162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7.清单计价规范下招投标阶段评标流程及要点</w:t>
      </w:r>
    </w:p>
    <w:p w14:paraId="44C22072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8.工程招标中标后的后续工作及合同交底要点</w:t>
      </w:r>
    </w:p>
    <w:p w14:paraId="6663991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9.合同约定环节造价精细化管控关键点操作</w:t>
      </w:r>
    </w:p>
    <w:p w14:paraId="15F4115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10.合同约定造价内容事项及发生争议的处理原则 </w:t>
      </w:r>
    </w:p>
    <w:p w14:paraId="4F4A339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11.工程变更引发价款调整的计价技术</w:t>
      </w:r>
    </w:p>
    <w:p w14:paraId="6CA9DA6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12.索赔调整的计价技术</w:t>
      </w:r>
    </w:p>
    <w:p w14:paraId="4B2D9F1A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13.现场签证调整计价</w:t>
      </w:r>
    </w:p>
    <w:p w14:paraId="303D8D13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14.导致措施项目费用调整的计价办法</w:t>
      </w:r>
    </w:p>
    <w:p w14:paraId="1772E09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15.工程结算管理</w:t>
      </w:r>
    </w:p>
    <w:p w14:paraId="7E41EC39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b/>
          <w:bCs/>
          <w:sz w:val="28"/>
          <w:szCs w:val="28"/>
        </w:rPr>
        <w:t>《2024版清单计价标准》下建设项目全过程造价管控与结算审计财评的变革与应对</w:t>
      </w:r>
      <w:r>
        <w:rPr>
          <w:rFonts w:ascii="Cambria Math" w:hAnsi="Cambria Math" w:eastAsia="仿宋" w:cs="Cambria Math"/>
          <w:b/>
          <w:bCs/>
          <w:sz w:val="28"/>
          <w:szCs w:val="28"/>
        </w:rPr>
        <w:t>​</w:t>
      </w:r>
    </w:p>
    <w:p w14:paraId="4210306E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第一部分：</w:t>
      </w:r>
      <w:r>
        <w:rPr>
          <w:rFonts w:ascii="仿宋" w:hAnsi="仿宋" w:eastAsia="仿宋" w:cs="仿宋"/>
          <w:b/>
          <w:bCs/>
          <w:sz w:val="28"/>
          <w:szCs w:val="28"/>
        </w:rPr>
        <w:t>各阶段造价管控与审计财评的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重点内容</w:t>
      </w:r>
    </w:p>
    <w:p w14:paraId="021ED131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1.招投标阶段造价问题</w:t>
      </w:r>
    </w:p>
    <w:p w14:paraId="734C077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(1)非必须招标项目采取邀请招标方式确定中标人，中标人与招标人实际控股人为同一人，该招标是否有效？</w:t>
      </w:r>
    </w:p>
    <w:p w14:paraId="46C81337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(2)招标文件中技术参数要求有误与现场实际情况不符，如何处理？</w:t>
      </w:r>
    </w:p>
    <w:p w14:paraId="0495F66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(3)专业暂估价，建设单位要求承包人公开招标，承包人想进行邀请招标，如何处理？</w:t>
      </w:r>
    </w:p>
    <w:p w14:paraId="081B9E73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(4)总包合同中专业工程进行了公开招投标没有提及总承包服务费，整个流程已经结束了，签合同的时候可以约定吗?怎么约定?</w:t>
      </w:r>
    </w:p>
    <w:p w14:paraId="269A560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(5)工程量清单存在错项、漏项，如何处理？</w:t>
      </w:r>
    </w:p>
    <w:p w14:paraId="09E22EF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(6)工程量清单漏项与缺项有何不同？招标时措施项目清单漏项，结算时是否可以计取？</w:t>
      </w:r>
    </w:p>
    <w:p w14:paraId="1B59CFE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)清单与图纸不一致如何应对？</w:t>
      </w:r>
    </w:p>
    <w:p w14:paraId="5F897974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)公司内部竞标，智能控制系统，施工图纸深度不够，图纸说明施工时深化设计，分包报价很低，与实际差异巨大，如何处理？</w:t>
      </w:r>
    </w:p>
    <w:p w14:paraId="38053B3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)暂估价材料分多次招标，不同次招标的中标价格差别很大，如何处理？</w:t>
      </w:r>
    </w:p>
    <w:p w14:paraId="3BBEAD23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)清单招标，陶瓷地砖，有中标价格，甲方要求乙方必须采购中标价格的陶瓷地砖，如何处理？</w:t>
      </w:r>
    </w:p>
    <w:p w14:paraId="1D04FBF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)要求投标人经现场踏勘后，自行考虑的费用，如何处理？</w:t>
      </w:r>
    </w:p>
    <w:p w14:paraId="63433448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)总承包服务费未发生，预算包干费，按合同建筑面积计取是否可行？</w:t>
      </w:r>
    </w:p>
    <w:p w14:paraId="24398A2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)未列入暂估价的专业工程，乙方会上报远高于市场价的价格，甲方对于价格是否有权干涉?</w:t>
      </w:r>
    </w:p>
    <w:p w14:paraId="4E766F8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)总价措施费，图纸清单没有深基坑支护的专项设计，危大工程，如何处理？招标答疑未提出，视为投标报价已考虑？专项施工方案论证、专项设计，费用承担？如何支付？</w:t>
      </w:r>
    </w:p>
    <w:p w14:paraId="685E3175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5)</w:t>
      </w:r>
      <w:r>
        <w:rPr>
          <w:rFonts w:hint="eastAsia" w:ascii="仿宋" w:hAnsi="仿宋" w:eastAsia="仿宋" w:cs="仿宋"/>
          <w:sz w:val="28"/>
          <w:szCs w:val="28"/>
        </w:rPr>
        <w:t>调整材料含量进行报价会不会导致废标?</w:t>
      </w:r>
    </w:p>
    <w:p w14:paraId="009C549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6)</w:t>
      </w:r>
      <w:r>
        <w:rPr>
          <w:rFonts w:hint="eastAsia" w:ascii="仿宋" w:hAnsi="仿宋" w:eastAsia="仿宋" w:cs="仿宋"/>
          <w:sz w:val="28"/>
          <w:szCs w:val="28"/>
        </w:rPr>
        <w:t>定额控制价，清单招标，电缆井中标包干价很低，变更后尺寸变小，项目特征改变，定额重新组价高，按中标价和尺寸比例扣减？</w:t>
      </w:r>
    </w:p>
    <w:p w14:paraId="0865B45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7)</w:t>
      </w:r>
      <w:r>
        <w:rPr>
          <w:rFonts w:hint="eastAsia" w:ascii="仿宋" w:hAnsi="仿宋" w:eastAsia="仿宋" w:cs="仿宋"/>
          <w:sz w:val="28"/>
          <w:szCs w:val="28"/>
        </w:rPr>
        <w:t>合同约定工程量变化不得索赔是否有效？</w:t>
      </w:r>
    </w:p>
    <w:p w14:paraId="2DDEB81F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2.合同签订阶段造价问题</w:t>
      </w:r>
    </w:p>
    <w:p w14:paraId="544A3C20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(1)固定单价合同，合同约定签证和一般变更不允许调整，投标单位应充分考虑在投标报价中，这条偏向于总价合同的条款，是否成立？</w:t>
      </w:r>
    </w:p>
    <w:p w14:paraId="3EF180A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(2)招标文件规定，招标人不对限额清单准确性负责，限额清单的工程量为中标人必须完成的基本工程量，且总价包干，中标人承担除按合同约定进行调价外的一切风险，如何处理？</w:t>
      </w:r>
    </w:p>
    <w:p w14:paraId="51E239A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(3)合同约定总价包干，没有招标清单，如何应对？</w:t>
      </w:r>
    </w:p>
    <w:p w14:paraId="6ECA761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(4)图纸设计深度不够，在合同没有约定的情况下，新增的措施费应该按实计算还是按投标费率计取？</w:t>
      </w:r>
    </w:p>
    <w:p w14:paraId="68220415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(5)单价合同，签合同时是否可以将报低的分部工程，单独约定为总价计价?</w:t>
      </w:r>
    </w:p>
    <w:p w14:paraId="7C0399D4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(6)合同协议书、投标文件、合同专用条款等组成施工合同的文件内容不一致，如何处理？</w:t>
      </w:r>
    </w:p>
    <w:p w14:paraId="3131520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(7)风险范围是否包括设计变更？</w:t>
      </w:r>
    </w:p>
    <w:p w14:paraId="4C259643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(8)建设方如果不补充增建工程的招投标手续，直接使用原合同并将加建工程当做增项，是否合法?</w:t>
      </w:r>
    </w:p>
    <w:p w14:paraId="4BD66C60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)固定总价合同，地勘报告超过预期，导致施工费用增加，如何处理？</w:t>
      </w:r>
    </w:p>
    <w:p w14:paraId="6A14CCC8">
      <w:pPr>
        <w:spacing w:line="500" w:lineRule="exact"/>
        <w:ind w:right="119" w:firstLine="560"/>
        <w:rPr>
          <w:rFonts w:hint="eastAsia" w:ascii="仿宋" w:hAnsi="仿宋" w:eastAsia="仿宋" w:cs="仿宋"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)材料调价差的风险范围？材料价差变化幅度的计算方式？调差材料的数量计算方式？价格调整方式？调差税金计取方式？</w:t>
      </w:r>
    </w:p>
    <w:p w14:paraId="3B010CC4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)中标清单中总价与单价不符的，如何处理？清标发现、合同签订前发现、合同签订后发现，如何处理？</w:t>
      </w:r>
    </w:p>
    <w:p w14:paraId="32539B90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)总价合同要考虑总价对应的范围，如何索赔？</w:t>
      </w:r>
    </w:p>
    <w:p w14:paraId="4C83AD6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)地勘报告出现错误时，清单项目特征如何调整？</w:t>
      </w:r>
    </w:p>
    <w:p w14:paraId="72A0ADF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4)</w:t>
      </w:r>
      <w:r>
        <w:rPr>
          <w:rFonts w:hint="eastAsia" w:ascii="仿宋" w:hAnsi="仿宋" w:eastAsia="仿宋" w:cs="仿宋"/>
          <w:sz w:val="28"/>
          <w:szCs w:val="28"/>
        </w:rPr>
        <w:t>合同签订的内容和文件规定的执行日期不一样，以哪个为准?</w:t>
      </w:r>
    </w:p>
    <w:p w14:paraId="193FFE75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5)</w:t>
      </w:r>
      <w:r>
        <w:rPr>
          <w:rFonts w:hint="eastAsia" w:ascii="仿宋" w:hAnsi="仿宋" w:eastAsia="仿宋" w:cs="仿宋"/>
          <w:sz w:val="28"/>
          <w:szCs w:val="28"/>
        </w:rPr>
        <w:t>清单计价、总价合同约定红线内是承包范围，邻近规划红线处的施工道路，需设置挡土墙，费用如何处理？</w:t>
      </w:r>
    </w:p>
    <w:p w14:paraId="47119AD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6)</w:t>
      </w:r>
      <w:r>
        <w:rPr>
          <w:rFonts w:hint="eastAsia" w:ascii="仿宋" w:hAnsi="仿宋" w:eastAsia="仿宋" w:cs="仿宋"/>
          <w:sz w:val="28"/>
          <w:szCs w:val="28"/>
        </w:rPr>
        <w:t>施工合同与中标合同约定的工程价款不一致时是否构成黑白合同？</w:t>
      </w:r>
    </w:p>
    <w:p w14:paraId="096EA0E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7)</w:t>
      </w:r>
      <w:r>
        <w:rPr>
          <w:rFonts w:hint="eastAsia" w:ascii="仿宋" w:hAnsi="仿宋" w:eastAsia="仿宋" w:cs="仿宋"/>
          <w:sz w:val="28"/>
          <w:szCs w:val="28"/>
        </w:rPr>
        <w:t>双方对材料数量的计算标准发生重大误解，如何处理？</w:t>
      </w:r>
    </w:p>
    <w:p w14:paraId="7C3E6350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3.履约阶段造价问题</w:t>
      </w:r>
    </w:p>
    <w:p w14:paraId="0074DD0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(1)不对分包单位进行退场处理，不重新招标的情况下，建设单位在不违反主合同，材料价差如何调整？</w:t>
      </w:r>
    </w:p>
    <w:p w14:paraId="1E508E8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(2)招标材料无品牌要求，后甲方指定了品牌，如何调整？</w:t>
      </w:r>
    </w:p>
    <w:p w14:paraId="1379300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(3)图纸设计变更，场内道路和交通设施费用如何调整？</w:t>
      </w:r>
    </w:p>
    <w:p w14:paraId="2B347777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(4)图纸未经深化，计容面积大，单价低，图纸完善后，建筑面积小，劳务不同意按原报价现面积结算？</w:t>
      </w:r>
    </w:p>
    <w:p w14:paraId="16D7D62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(5)无投标的材料消耗量，如何调材料价差？</w:t>
      </w:r>
    </w:p>
    <w:p w14:paraId="4C91CD0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)单价合同，合同约定变更组价采用清单单价，但相同项目特征，清单单价有高有低，如何处理？</w:t>
      </w:r>
    </w:p>
    <w:p w14:paraId="1073B028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)变更单价如何确定？是否受13清单规范之15%约束？</w:t>
      </w:r>
    </w:p>
    <w:p w14:paraId="4139B8D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)按项包干的措施费，能否按实调整？</w:t>
      </w:r>
    </w:p>
    <w:p w14:paraId="64126318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)甲方原因停工，乙方能获得什么赔偿？临建措施索赔依据？</w:t>
      </w:r>
    </w:p>
    <w:p w14:paraId="3070837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)合同范围内，措施项目漏项，报价能否自行增加？</w:t>
      </w:r>
    </w:p>
    <w:p w14:paraId="6770F7D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)工程已验收合格，实际做法与原设计有偏差，能否执行原投标单价？</w:t>
      </w:r>
    </w:p>
    <w:p w14:paraId="73E21F5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)单方提出因工程质量问题，扣减工程量的做法是否合理？</w:t>
      </w:r>
    </w:p>
    <w:p w14:paraId="44D8698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)材料价格严重偏高，现场管理费严重偏高，如何处理？</w:t>
      </w:r>
    </w:p>
    <w:p w14:paraId="3D561B44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4)</w:t>
      </w:r>
      <w:r>
        <w:rPr>
          <w:rFonts w:hint="eastAsia" w:ascii="仿宋" w:hAnsi="仿宋" w:eastAsia="仿宋" w:cs="仿宋"/>
          <w:sz w:val="28"/>
          <w:szCs w:val="28"/>
        </w:rPr>
        <w:t>如何认定变更方案不合理或过度变更？</w:t>
      </w:r>
    </w:p>
    <w:p w14:paraId="2B60DFC3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5)</w:t>
      </w:r>
      <w:r>
        <w:rPr>
          <w:rFonts w:hint="eastAsia" w:ascii="仿宋" w:hAnsi="仿宋" w:eastAsia="仿宋" w:cs="仿宋"/>
          <w:sz w:val="28"/>
          <w:szCs w:val="28"/>
        </w:rPr>
        <w:t>为了抢工期，脚手架用量的增加，能否根据施工方案调整?怎样调整？</w:t>
      </w:r>
    </w:p>
    <w:p w14:paraId="3E75106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6)</w:t>
      </w:r>
      <w:r>
        <w:rPr>
          <w:rFonts w:hint="eastAsia" w:ascii="仿宋" w:hAnsi="仿宋" w:eastAsia="仿宋" w:cs="仿宋"/>
          <w:sz w:val="28"/>
          <w:szCs w:val="28"/>
        </w:rPr>
        <w:t>经专家认证的高支模方案增加的费用是否可以按实计取?</w:t>
      </w:r>
    </w:p>
    <w:p w14:paraId="3C551425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(17)</w:t>
      </w:r>
      <w:r>
        <w:rPr>
          <w:rFonts w:hint="eastAsia" w:ascii="仿宋" w:hAnsi="仿宋" w:eastAsia="仿宋" w:cs="仿宋"/>
          <w:sz w:val="28"/>
          <w:szCs w:val="28"/>
        </w:rPr>
        <w:t>未形成工程实体的措施项目，能否按漏项处理？</w:t>
      </w:r>
    </w:p>
    <w:p w14:paraId="49FA83A4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4.结算阶段造价问题</w:t>
      </w:r>
    </w:p>
    <w:p w14:paraId="2A98FB6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(1)没有详细的招投标清单怎么结算？</w:t>
      </w:r>
    </w:p>
    <w:p w14:paraId="49F25E10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(2)没有项目特征，没有单位，投标时只报一笔费用，如何结算？</w:t>
      </w:r>
    </w:p>
    <w:p w14:paraId="720F610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(3)图纸量少于招标量，如何结算？按总价合同结算还是按实际完成的图纸结算？</w:t>
      </w:r>
    </w:p>
    <w:p w14:paraId="5309515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(4)图纸没有，清单增列部分报高价了，如何处理？</w:t>
      </w:r>
    </w:p>
    <w:p w14:paraId="278302C7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(5)招标清单按项计取的措施项，能否据实结算？</w:t>
      </w:r>
    </w:p>
    <w:p w14:paraId="680E434A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(6)招标清单措施项，无清单量，如何结算？</w:t>
      </w:r>
    </w:p>
    <w:p w14:paraId="0638542A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(7)招标清单漏项的专业工程暂估价费用，应该由哪一方来承担？</w:t>
      </w:r>
    </w:p>
    <w:p w14:paraId="3A01806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(8)招标控制价早，工程一直迟迟未开工，各种原材料上涨，招标控制价又没有计取暂列金额，结算时应怎样解决？</w:t>
      </w:r>
    </w:p>
    <w:p w14:paraId="66A81BFA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(9)单价合同，中标清单分部分项工程总价和单价不符，如何处理？</w:t>
      </w:r>
    </w:p>
    <w:p w14:paraId="5A462BD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(10)工程未完工，脚手架、垂运费、安全文明施工费，如何计取？</w:t>
      </w:r>
    </w:p>
    <w:p w14:paraId="510DF2F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(11)价高量减，如何结算?</w:t>
      </w:r>
    </w:p>
    <w:p w14:paraId="1F2F99B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(12)甲供材结算，投标报价的辅助材料费能否扣减？</w:t>
      </w:r>
    </w:p>
    <w:p w14:paraId="0029F2F5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(13)甲供材扣除，是否算损耗量？</w:t>
      </w:r>
    </w:p>
    <w:p w14:paraId="645A47D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(14)增建工程尚未签订合同，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双方</w:t>
      </w:r>
      <w:r>
        <w:rPr>
          <w:rFonts w:hint="eastAsia" w:ascii="仿宋" w:hAnsi="仿宋" w:eastAsia="仿宋" w:cs="仿宋"/>
          <w:sz w:val="28"/>
          <w:szCs w:val="28"/>
        </w:rPr>
        <w:t>口头约定计价依据暂参照原合同，如何处理？</w:t>
      </w:r>
    </w:p>
    <w:p w14:paraId="7681FA3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(15)补充协议对该协议签订前施工完的工程是否有约束力?</w:t>
      </w:r>
    </w:p>
    <w:p w14:paraId="7368D74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措施费的计量单位为项，能否据实结算?</w:t>
      </w:r>
    </w:p>
    <w:p w14:paraId="1818EEE8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材料调价差，调差工程量，如何确定?</w:t>
      </w:r>
    </w:p>
    <w:p w14:paraId="0F9201D7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材料价格的认证一般采用的依据？当需要自行加工时，材料价格应如何认证？</w:t>
      </w:r>
    </w:p>
    <w:p w14:paraId="6F5D5A7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材料暂估价的分部分项，报价材料消耗量调低，暂估单价没变，综合单价偏低，结算时，能否按实际消耗量和材料采购价重新组价？</w:t>
      </w:r>
    </w:p>
    <w:p w14:paraId="2B56C3AE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5.结算审计与财政评审阶段造价问题</w:t>
      </w:r>
    </w:p>
    <w:p w14:paraId="3A9DBB4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(1)信息价偏高，能否按市场价格进行审定？</w:t>
      </w:r>
    </w:p>
    <w:p w14:paraId="5026A78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(2)当对建设单位报送的招标控制价与结算进行评审时，发现报送单位报送的招标控制价与结算存在缺项、漏项及与清单描述与图纸不符时如何处理？</w:t>
      </w:r>
    </w:p>
    <w:p w14:paraId="75F5AED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(3)结算审核，能否依据乙方提供的发票审减？</w:t>
      </w:r>
    </w:p>
    <w:p w14:paraId="6D42902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(4)结算审核时，审核单位对原有图纸中的工程量是否要重新计算、重新核对？</w:t>
      </w:r>
    </w:p>
    <w:p w14:paraId="2DA02A37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(5)结算时，审计单位以调整人工费结算标准缺乏契约依据为由，不予调整，如何应对？</w:t>
      </w:r>
    </w:p>
    <w:p w14:paraId="74804CE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(6)结算书只有造价咨询企业的公章，没有造价人员签字和盖职业印章，是否有效？</w:t>
      </w:r>
    </w:p>
    <w:p w14:paraId="79143534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(7)审计方能否修改预算单价和合同总价，是否违背合同？</w:t>
      </w:r>
    </w:p>
    <w:p w14:paraId="1749F7B7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(8)审计方以投标和实际施工方式不一致为由，要求重新组价，是否合理？</w:t>
      </w:r>
    </w:p>
    <w:p w14:paraId="0BB0E9A5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(9)在结算项目评审中，结算造价超中标造价30％以上，超出新增部分有补充协议，若遇到这种情况处理方式和意见是什么？</w:t>
      </w:r>
    </w:p>
    <w:p w14:paraId="1D002155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(10)在评审过程中因部分材料存在异议如设备安装，遇到这种材料异议大，但施工单位提供购买时发票的，该部分材料价如何调整？</w:t>
      </w:r>
    </w:p>
    <w:p w14:paraId="290B6AC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(11)在与建设单位与施工单位进行核对时，当出现意见不统一时，应如何进行解决？是咨询市、省定额站？是否为权威机构，咨询后如何形成文字，是出具函？</w:t>
      </w:r>
    </w:p>
    <w:p w14:paraId="360D522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(12)暂估价，认质认价，结算审计能否推翻？</w:t>
      </w:r>
    </w:p>
    <w:p w14:paraId="3814880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(13)政府投资项目财政评审范围外的货物、设备、软件的总包采购价格确定方式？</w:t>
      </w:r>
    </w:p>
    <w:p w14:paraId="06B3CF7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(14)总价合同竣工后，审计要求超量不增加，少量扣除，是否合理？</w:t>
      </w:r>
    </w:p>
    <w:p w14:paraId="3B2B9872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(15)不平衡报价，审计能否要求重新组价？</w:t>
      </w:r>
    </w:p>
    <w:p w14:paraId="1284236F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暂估价项目的“认价”性质分析：合同双方认定的价格审计可否再核减？</w:t>
      </w:r>
    </w:p>
    <w:p w14:paraId="725020E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17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合同价格中的竞争性费用不合理，审计能否“打开”合同进行核减？</w:t>
      </w:r>
    </w:p>
    <w:p w14:paraId="070A437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“不平衡价格”下的结算争议与审计定性</w:t>
      </w:r>
    </w:p>
    <w:p w14:paraId="2FCBCDA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19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固定价格合同调价的审计风险与案例</w:t>
      </w:r>
    </w:p>
    <w:p w14:paraId="052DC375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)</w:t>
      </w:r>
      <w:r>
        <w:rPr>
          <w:rFonts w:hint="eastAsia" w:ascii="仿宋" w:hAnsi="仿宋" w:eastAsia="仿宋" w:cs="仿宋"/>
          <w:sz w:val="28"/>
          <w:szCs w:val="28"/>
        </w:rPr>
        <w:t>合同价格中的某些内容未发生，是“按实审计”还是“依约审计”？</w:t>
      </w:r>
    </w:p>
    <w:p w14:paraId="0CDB0620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第二部分：各阶段造价管控与审计财评的修改要点​</w:t>
      </w:r>
    </w:p>
    <w:p w14:paraId="34ABB408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（一）投资决策与设计阶段​</w:t>
      </w:r>
    </w:p>
    <w:p w14:paraId="4F2A0A6D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1.修改前重点：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主要以估算指标、概算定额为依据，精度相对较低，与市场实际可能存在脱节。</w:t>
      </w:r>
    </w:p>
    <w:p w14:paraId="1ADEDB7B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2.2024版标准下的修改与强化：</w:t>
      </w:r>
    </w:p>
    <w:p w14:paraId="1AD21B2A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(1)管控要点：</w:t>
      </w:r>
    </w:p>
    <w:p w14:paraId="0968CE0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提高估算概算的准确性：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鼓励使用BIM技术进行设计，自动提取工程量，与清单标准无缝对接，减少后期工程量偏差。</w:t>
      </w:r>
    </w:p>
    <w:p w14:paraId="14B4F674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风险初步研判：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在投资估算中需考虑重大风险因素（如政策调整、地质条件等）的预备费。</w:t>
      </w:r>
    </w:p>
    <w:p w14:paraId="7D5F890B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(2)审计/财评要点：</w:t>
      </w:r>
    </w:p>
    <w:p w14:paraId="55196115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审核投资估算、设计概算的编制依据是否充分、方法是否科学，是否体现了新标准的市场化原则。</w:t>
      </w:r>
    </w:p>
    <w:p w14:paraId="49AE46A8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重点关注方案比选过程的合规性与经济性结论的合理性。</w:t>
      </w:r>
    </w:p>
    <w:p w14:paraId="3DD987AD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（二）招投标阶段​</w:t>
      </w:r>
    </w:p>
    <w:p w14:paraId="5D36E03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1.修改前重点：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按图纸计算工程量，投标人按定额或企业定额组价，风险分担模式较为固定。</w:t>
      </w:r>
    </w:p>
    <w:p w14:paraId="1D44C586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2.2024版标准下的修改与强化：</w:t>
      </w:r>
    </w:p>
    <w:p w14:paraId="725A5ED9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(1)管控要点：</w:t>
      </w:r>
    </w:p>
    <w:p w14:paraId="0FF59B6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清单编制质量是核心：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招标人（或咨询方）必须提供准确、完整、清晰的工程量清单，对清单的准确性和完整性负责，避免后期出现重大争议。这是新标准对招标人的刚性要求。</w:t>
      </w:r>
    </w:p>
    <w:p w14:paraId="5C56851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深化合同条款设计：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合同必须明确约定价格风险的分担范围和调整方法​（如主要材料价格波动的调整阈值和公式），符合新标准倡导的风险共担原则。</w:t>
      </w:r>
    </w:p>
    <w:p w14:paraId="7E3DC888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最高投标限价（招标控制价）的合理性：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限价应基于市场行情和企业平均水平编制，而非简单套用政府定额，防止“一刀切”。</w:t>
      </w:r>
    </w:p>
    <w:p w14:paraId="2342F42E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(2)审计/财评要点：</w:t>
      </w:r>
    </w:p>
    <w:p w14:paraId="5A9E5C68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过程跟踪审计：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财评机构应提前介入，审计招标文件、清单、最高限价和合同条款的合规性、合理性和完整性。</w:t>
      </w:r>
    </w:p>
    <w:p w14:paraId="084BD781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重点审查风险分担条款是否公平、合规，价格调整公式是否明确可操作。</w:t>
      </w:r>
    </w:p>
    <w:p w14:paraId="60971B8B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（三）施工阶段​</w:t>
      </w:r>
    </w:p>
    <w:p w14:paraId="20089FB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1.修改前重点：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按进度计量支付，处理现场签证和变更，但常因资料不全、责任不清导致结算纠纷。</w:t>
      </w:r>
    </w:p>
    <w:p w14:paraId="05E4828F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2.2024版标准下的修改与强化：</w:t>
      </w:r>
    </w:p>
    <w:p w14:paraId="2A714F37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(1)管控要点：</w:t>
      </w:r>
    </w:p>
    <w:p w14:paraId="57F8AB59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动态成本控制：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建立全过程成本数据库，实时对比目标成本、合同价与实际发生成本，及时预警。</w:t>
      </w:r>
    </w:p>
    <w:p w14:paraId="79D26246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规范过程文件管理：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对工程变更、现场签证、索赔等事件，必须做到“一事一签、证据确凿、计价明确”，其计价必须严格遵循合同约定的清单计价原则。</w:t>
      </w:r>
    </w:p>
    <w:p w14:paraId="17111BAE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价款支付与调整：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严格按照合同约定进行期中计量支付，并按规定周期（如按月）依据合同调价条款对人工、材料等进行动态调整。</w:t>
      </w:r>
    </w:p>
    <w:p w14:paraId="065FAC9E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(2)审计/财评要点：</w:t>
      </w:r>
    </w:p>
    <w:p w14:paraId="1F6DEB0A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推行“跟踪审计”模式：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审计人员定期或不定期进驻现场，对重大变更、隐蔽工程、材料认价等过程进行实时审计见证，变“事后被动审计”为“过程主动控制”。</w:t>
      </w:r>
    </w:p>
    <w:p w14:paraId="56DE969A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sz w:val="28"/>
          <w:szCs w:val="28"/>
        </w:rPr>
        <w:t>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审计过程支付资料的完整性和支付的准确性，防止超付。</w:t>
      </w:r>
    </w:p>
    <w:p w14:paraId="34448616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（四）竣工结算与审计财评阶段​</w:t>
      </w:r>
    </w:p>
    <w:p w14:paraId="43D8C24C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1.修改前重点：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竣工后集中核对工程量、套定额、争议扯皮多，周期长。</w:t>
      </w:r>
    </w:p>
    <w:p w14:paraId="6DA2C24F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2.2024版标准下的修改与强化：</w:t>
      </w:r>
    </w:p>
    <w:p w14:paraId="180555B3">
      <w:pPr>
        <w:spacing w:line="500" w:lineRule="exact"/>
        <w:ind w:right="119" w:firstLine="56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(1)管控与审计要点：</w:t>
      </w:r>
    </w:p>
    <w:p w14:paraId="1FB57764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结算效率大幅提升：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得益于全过程数据的积累（尤其是BIM模型的工程量数据）和过程跟踪审计，结算争议大大减少，结算审核工作重心从“核对量价”转向“审核合规性与合理性”。</w:t>
      </w:r>
    </w:p>
    <w:p w14:paraId="393BBEFB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重点审核内容变化：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合规性：所有变更、签证、索赔的程序是否合规，资料是否齐全有效。</w:t>
      </w:r>
    </w:p>
    <w:p w14:paraId="441A741B">
      <w:pPr>
        <w:spacing w:line="500" w:lineRule="exact"/>
        <w:ind w:right="119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计价原则：所有结算项是否严格遵循合同约定的清单计价原则，包括项目特征不符时的重新组价原则、价格调整公式的应用等。</w:t>
      </w:r>
    </w:p>
    <w:p w14:paraId="45E5103E">
      <w:pPr>
        <w:spacing w:line="500" w:lineRule="exact"/>
        <w:ind w:right="119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风险事件：对合同约定的风险范围之外的事件，其责任认定和费用计取是否合理。</w:t>
      </w:r>
    </w:p>
    <w:p w14:paraId="7FACEB98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数字化审计：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利用造价软件和数据库，对结算数据进行快速比对和分析，提高审计效率和准确性。</w:t>
      </w:r>
    </w:p>
    <w:p w14:paraId="27D71497">
      <w:pPr>
        <w:spacing w:line="500" w:lineRule="exact"/>
        <w:ind w:right="119"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 w:cs="仿宋" w:hAnsiTheme="minorEastAsia"/>
          <w:b/>
          <w:bCs/>
          <w:sz w:val="28"/>
          <w:szCs w:val="28"/>
        </w:rPr>
        <w:t>⚫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财政评审：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财评中心在收到送审结算后，将基于全过程跟踪审计的成果和数字化工具，进行最终复核与认定，其评审结论将更具权威性和准确性。</w:t>
      </w:r>
    </w:p>
    <w:p w14:paraId="34B442B7">
      <w:pPr>
        <w:spacing w:line="500" w:lineRule="exact"/>
        <w:ind w:right="11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、培训对象</w:t>
      </w:r>
    </w:p>
    <w:p w14:paraId="027046D8">
      <w:pPr>
        <w:spacing w:line="500" w:lineRule="exact"/>
        <w:ind w:right="119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设行政主管部门、审计部门及建设工程相关行业协会负责人；建设业主单位及工程建设企业（工程承包、建筑施工、勘察设计、房地产开发、工程项目管理、工程监理、工程咨询、工程造价、招标代理等）总经理、总造价顾问、法务总监、总工程师，经营管理、项目管理、市场开发、商务谈判、招标投标、合同管理、成本管理、法律事务等中高级管理人员以及业务相关的直线经理人等；律师事务所律师；高等院校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医院、机关、</w:t>
      </w:r>
      <w:r>
        <w:rPr>
          <w:rFonts w:hint="eastAsia" w:ascii="仿宋" w:hAnsi="仿宋" w:eastAsia="仿宋" w:cs="仿宋"/>
          <w:sz w:val="28"/>
          <w:szCs w:val="28"/>
        </w:rPr>
        <w:t>科研机构有关人员等。</w:t>
      </w:r>
    </w:p>
    <w:p w14:paraId="285A7036">
      <w:pPr>
        <w:spacing w:line="500" w:lineRule="exact"/>
        <w:ind w:right="119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、拟邀请专家</w:t>
      </w:r>
    </w:p>
    <w:p w14:paraId="0F23E5D9">
      <w:pPr>
        <w:spacing w:line="500" w:lineRule="exact"/>
        <w:ind w:right="119" w:firstLine="56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吴佐民老师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2024</w:t>
      </w:r>
      <w:r>
        <w:rPr>
          <w:rFonts w:ascii="仿宋" w:hAnsi="仿宋" w:eastAsia="仿宋" w:cs="仿宋"/>
          <w:kern w:val="0"/>
          <w:sz w:val="28"/>
          <w:szCs w:val="28"/>
        </w:rPr>
        <w:t>版《建设工程工程量清单计价标准》</w:t>
      </w:r>
      <w:r>
        <w:rPr>
          <w:rFonts w:hint="eastAsia" w:ascii="仿宋" w:hAnsi="仿宋" w:eastAsia="仿宋" w:cs="仿宋"/>
          <w:kern w:val="0"/>
          <w:sz w:val="28"/>
          <w:szCs w:val="28"/>
        </w:rPr>
        <w:t>审查</w:t>
      </w:r>
      <w:r>
        <w:rPr>
          <w:rFonts w:ascii="仿宋" w:hAnsi="仿宋" w:eastAsia="仿宋" w:cs="仿宋"/>
          <w:kern w:val="0"/>
          <w:sz w:val="28"/>
          <w:szCs w:val="28"/>
        </w:rPr>
        <w:t>专家组成员、教授级高级工程师，享受国务院政府特殊津贴。</w:t>
      </w:r>
    </w:p>
    <w:p w14:paraId="129E35F0">
      <w:pPr>
        <w:spacing w:line="500" w:lineRule="exact"/>
        <w:ind w:right="119" w:firstLine="56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谭敬慧老师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2024版《建设工程工程量清单计价标准》起草组专家成员；</w:t>
      </w:r>
      <w:r>
        <w:rPr>
          <w:rFonts w:ascii="仿宋" w:hAnsi="仿宋" w:eastAsia="仿宋" w:cs="仿宋"/>
          <w:kern w:val="0"/>
          <w:sz w:val="28"/>
          <w:szCs w:val="28"/>
        </w:rPr>
        <w:t>住房和城乡建设部</w:t>
      </w:r>
      <w:r>
        <w:rPr>
          <w:rFonts w:hint="eastAsia" w:ascii="仿宋" w:hAnsi="仿宋" w:eastAsia="仿宋" w:cs="仿宋"/>
          <w:kern w:val="0"/>
          <w:sz w:val="28"/>
          <w:szCs w:val="28"/>
        </w:rPr>
        <w:t>法律顾问、国家发改委和财政部PPP双库专家；《民法典》、《建筑法》、《招标投标法》立法专家；贸仲、北仲等全国多家机构仲裁员</w:t>
      </w:r>
    </w:p>
    <w:p w14:paraId="7134CCCC">
      <w:pPr>
        <w:spacing w:line="500" w:lineRule="exact"/>
        <w:ind w:right="119" w:firstLine="56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</w:rPr>
        <w:t>贾宏俊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老师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2024</w:t>
      </w:r>
      <w:r>
        <w:rPr>
          <w:rFonts w:ascii="仿宋" w:hAnsi="仿宋" w:eastAsia="仿宋" w:cs="仿宋"/>
          <w:kern w:val="0"/>
          <w:sz w:val="28"/>
          <w:szCs w:val="28"/>
        </w:rPr>
        <w:t>版《建设工程工程量清单计价标准》</w:t>
      </w:r>
      <w:r>
        <w:rPr>
          <w:rFonts w:hint="eastAsia" w:ascii="仿宋" w:hAnsi="仿宋" w:eastAsia="仿宋" w:cs="仿宋"/>
          <w:kern w:val="0"/>
          <w:sz w:val="28"/>
          <w:szCs w:val="28"/>
        </w:rPr>
        <w:t>审查</w:t>
      </w:r>
      <w:r>
        <w:rPr>
          <w:rFonts w:ascii="仿宋" w:hAnsi="仿宋" w:eastAsia="仿宋" w:cs="仿宋"/>
          <w:kern w:val="0"/>
          <w:sz w:val="28"/>
          <w:szCs w:val="28"/>
        </w:rPr>
        <w:t>专家组成员、中国工程项目管理委员会专家办公室副主任、住房和城乡建设部战略发展专家委员、中国建设工程造价管理协会专家委员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7FFFC388">
      <w:pPr>
        <w:spacing w:line="500" w:lineRule="exact"/>
        <w:ind w:right="119" w:firstLine="56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罗小兰老师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2024版《建设工程工程量清单计价标准》主要起草人，FIDIC国际认证咨询工程师，住房和城乡建设部“总对总”工程纠纷调解员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</w:rPr>
        <w:t>澳门工程造价师学会副理事长。</w:t>
      </w:r>
    </w:p>
    <w:p w14:paraId="68931E54">
      <w:pPr>
        <w:spacing w:line="500" w:lineRule="exact"/>
        <w:ind w:right="119" w:firstLine="56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刘雷老师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南京审计大学工程管理学院造价管理系（江苏省公共工程审计重点实验室）副教授，博士。</w:t>
      </w:r>
      <w:r>
        <w:rPr>
          <w:rFonts w:ascii="仿宋" w:hAnsi="仿宋" w:eastAsia="仿宋" w:cs="仿宋"/>
          <w:kern w:val="0"/>
          <w:sz w:val="28"/>
          <w:szCs w:val="28"/>
        </w:rPr>
        <w:t>长期担任国家审计机关、政府机构、大型国有企业“工程总承包及EPC项目管理、建设工程招投标与合同管理、建设工程造价与审计课程”的主讲专家</w:t>
      </w:r>
    </w:p>
    <w:p w14:paraId="198FA6C3">
      <w:pPr>
        <w:spacing w:line="500" w:lineRule="exact"/>
        <w:ind w:right="119" w:firstLine="56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罗燕老师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</w:rPr>
        <w:t>2024版《建设工程工程量清单计价标准》主要起草人，FIDIC国际认证咨询工程师，住房和城乡建设部“总对总”工程纠纷调解员，广东省建设工程标准定额站造价纠纷处理专家，广东省工程造价协会专家证人发展委员会专家证人。</w:t>
      </w:r>
    </w:p>
    <w:p w14:paraId="36FD4FAC">
      <w:pPr>
        <w:spacing w:line="500" w:lineRule="exact"/>
        <w:ind w:right="119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、时间地点</w:t>
      </w:r>
    </w:p>
    <w:p w14:paraId="5ACA9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19"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2025年09月11日-15日（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Times New Roman"/>
          <w:sz w:val="28"/>
          <w:szCs w:val="28"/>
        </w:rPr>
        <w:t>日全天报到）  杭州市</w:t>
      </w:r>
    </w:p>
    <w:p w14:paraId="2EE6423E">
      <w:pPr>
        <w:spacing w:line="500" w:lineRule="exact"/>
        <w:ind w:right="119"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2025年09月24日-28日（24日全天报到）  武汉市</w:t>
      </w:r>
    </w:p>
    <w:p w14:paraId="5288064F">
      <w:pPr>
        <w:spacing w:line="500" w:lineRule="exact"/>
        <w:ind w:right="119"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2025年10月22日-26日（22日全天报到）  西安市</w:t>
      </w:r>
    </w:p>
    <w:p w14:paraId="4766F0F8">
      <w:pPr>
        <w:spacing w:line="500" w:lineRule="exact"/>
        <w:ind w:right="119"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2025年11月05日-09日（05日全天报到）  乌鲁木齐市</w:t>
      </w:r>
    </w:p>
    <w:p w14:paraId="533745FD">
      <w:pPr>
        <w:spacing w:line="500" w:lineRule="exact"/>
        <w:ind w:right="119"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2025年11月20日-24日（20日全天报到）  重庆市</w:t>
      </w:r>
    </w:p>
    <w:p w14:paraId="0A84EA55">
      <w:pPr>
        <w:spacing w:line="500" w:lineRule="exact"/>
        <w:ind w:right="119"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2025年11月25日-29日（25日全天报到）  长沙市</w:t>
      </w:r>
    </w:p>
    <w:p w14:paraId="281E762E">
      <w:pPr>
        <w:spacing w:line="500" w:lineRule="exact"/>
        <w:ind w:right="119"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2025年12月18日-22日（18日全天报到）  哈尔滨市</w:t>
      </w:r>
    </w:p>
    <w:p w14:paraId="33A87823">
      <w:pPr>
        <w:spacing w:line="500" w:lineRule="exact"/>
        <w:ind w:right="119"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2025年12月25日-29日（25日全天报到）  厦门市</w:t>
      </w:r>
    </w:p>
    <w:p w14:paraId="61159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9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、相关费用</w:t>
      </w:r>
      <w:bookmarkStart w:id="0" w:name="OLE_LINK7"/>
    </w:p>
    <w:p w14:paraId="15518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9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A:3980元/人（含培训费、场地费、资料费、专家、结业证书、会议期间午餐等），住宿统一安排，费用自理。</w:t>
      </w:r>
    </w:p>
    <w:p w14:paraId="741D2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9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B:5980元/人（含培训费、场地费、资料费、专家、一项岗位能力证书、会议期间午餐等），住宿统一安排，费用自理。</w:t>
      </w:r>
    </w:p>
    <w:p w14:paraId="1EBFF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9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C:以上内容线上培训费用：28000元一个学习账号，单位投屏播放，统一观看，支持在线问答。</w:t>
      </w:r>
    </w:p>
    <w:p w14:paraId="461F6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9"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D:以上内容线下参会，</w:t>
      </w:r>
      <w:r>
        <w:rPr>
          <w:rFonts w:hint="eastAsia" w:ascii="仿宋" w:hAnsi="仿宋" w:eastAsia="仿宋" w:cs="仿宋"/>
          <w:color w:val="333333"/>
          <w:sz w:val="27"/>
          <w:szCs w:val="27"/>
          <w:shd w:val="clear" w:color="auto" w:fill="FFFFFF"/>
        </w:rPr>
        <w:t>50000元/单位（</w:t>
      </w:r>
      <w:r>
        <w:rPr>
          <w:rFonts w:hint="eastAsia" w:ascii="仿宋" w:hAnsi="仿宋" w:eastAsia="仿宋" w:cs="仿宋"/>
          <w:kern w:val="0"/>
          <w:sz w:val="28"/>
          <w:szCs w:val="28"/>
        </w:rPr>
        <w:t>不限人数，不含会议期间午餐、住宿及结业证书等费用</w:t>
      </w:r>
      <w:r>
        <w:rPr>
          <w:rFonts w:hint="eastAsia" w:ascii="仿宋" w:hAnsi="仿宋" w:eastAsia="仿宋" w:cs="仿宋"/>
          <w:color w:val="333333"/>
          <w:sz w:val="27"/>
          <w:szCs w:val="27"/>
          <w:shd w:val="clear" w:color="auto" w:fill="FFFFFF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</w:rPr>
        <w:t>。本课程也可以采取定制内容学习、请专家到政府、企业内部培训，40000元/天（含课酬、专家与助教交通费、资料费等），场地由培训单位提供。</w:t>
      </w:r>
      <w:bookmarkEnd w:id="0"/>
    </w:p>
    <w:p w14:paraId="3E5BF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9" w:firstLine="562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备注：</w:t>
      </w:r>
      <w:r>
        <w:rPr>
          <w:rFonts w:hint="eastAsia" w:ascii="仿宋" w:hAnsi="仿宋" w:eastAsia="仿宋" w:cs="仿宋"/>
          <w:kern w:val="0"/>
          <w:sz w:val="28"/>
          <w:szCs w:val="28"/>
        </w:rPr>
        <w:t>参加培训，考试成绩合格颁发证书，2000元/人/项（证书由我会颁发“《商务经理》《成本经理》《造价经理》《项目经理》”。岗位能力证书申报材料：报名表、2寸照片（白底免冠彩照）、身份证正反面、学历证书，以上报名材料均需电子版。</w:t>
      </w:r>
    </w:p>
    <w:p w14:paraId="05591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119" w:firstLine="562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 xml:space="preserve">                                                 </w:t>
      </w:r>
    </w:p>
    <w:p w14:paraId="6CC23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122" w:firstLine="562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3482340</wp:posOffset>
            </wp:positionH>
            <wp:positionV relativeFrom="paragraph">
              <wp:posOffset>84455</wp:posOffset>
            </wp:positionV>
            <wp:extent cx="2477135" cy="1834515"/>
            <wp:effectExtent l="0" t="0" r="12065" b="6985"/>
            <wp:wrapNone/>
            <wp:docPr id="3" name="图片 3" descr="c3993ef3-1c66-4059-8b72-8b39114cbf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3993ef3-1c66-4059-8b72-8b39114cbf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565F8F">
      <w:pPr>
        <w:spacing w:line="520" w:lineRule="exact"/>
        <w:ind w:right="122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</w:p>
    <w:p w14:paraId="5E626EC0">
      <w:pPr>
        <w:spacing w:line="520" w:lineRule="exact"/>
        <w:ind w:right="122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</w:p>
    <w:p w14:paraId="11FD6ED2">
      <w:pPr>
        <w:spacing w:line="520" w:lineRule="exact"/>
        <w:ind w:right="122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</w:p>
    <w:p w14:paraId="76C16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80" w:rightChars="38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附件：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报名回执表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</w:t>
      </w:r>
    </w:p>
    <w:p w14:paraId="331BA8A3">
      <w:pPr>
        <w:spacing w:line="520" w:lineRule="exact"/>
        <w:ind w:right="122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</w:p>
    <w:p w14:paraId="29214A12">
      <w:pPr>
        <w:spacing w:line="520" w:lineRule="exact"/>
        <w:ind w:right="122"/>
        <w:jc w:val="both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附件：</w:t>
      </w:r>
    </w:p>
    <w:p w14:paraId="15886C3F">
      <w:pPr>
        <w:spacing w:line="520" w:lineRule="exact"/>
        <w:ind w:right="122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《建设工程工程量清单计价标准》(GB/T50500-2024)等十项标准应用解读、合同风险揭示与防范暨建设项目全过程造价管控与审计、财评实操专题培训班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报名回执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表</w:t>
      </w:r>
    </w:p>
    <w:tbl>
      <w:tblPr>
        <w:tblStyle w:val="8"/>
        <w:tblpPr w:leftFromText="180" w:rightFromText="180" w:vertAnchor="text" w:horzAnchor="page" w:tblpXSpec="center" w:tblpY="187"/>
        <w:tblOverlap w:val="never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052"/>
        <w:gridCol w:w="1257"/>
        <w:gridCol w:w="1826"/>
        <w:gridCol w:w="17"/>
        <w:gridCol w:w="477"/>
        <w:gridCol w:w="551"/>
        <w:gridCol w:w="776"/>
        <w:gridCol w:w="2014"/>
      </w:tblGrid>
      <w:tr w14:paraId="317C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40" w:type="dxa"/>
            <w:noWrap/>
            <w:vAlign w:val="center"/>
          </w:tcPr>
          <w:p w14:paraId="2DAD6AB4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单位名称</w:t>
            </w:r>
          </w:p>
        </w:tc>
        <w:tc>
          <w:tcPr>
            <w:tcW w:w="4629" w:type="dxa"/>
            <w:gridSpan w:val="5"/>
            <w:noWrap/>
            <w:vAlign w:val="center"/>
          </w:tcPr>
          <w:p w14:paraId="70E34F9B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327" w:type="dxa"/>
            <w:gridSpan w:val="2"/>
            <w:noWrap/>
            <w:vAlign w:val="center"/>
          </w:tcPr>
          <w:p w14:paraId="5B71F3C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邮    编</w:t>
            </w:r>
          </w:p>
        </w:tc>
        <w:tc>
          <w:tcPr>
            <w:tcW w:w="2014" w:type="dxa"/>
            <w:noWrap/>
            <w:vAlign w:val="center"/>
          </w:tcPr>
          <w:p w14:paraId="3DA30179">
            <w:pPr>
              <w:spacing w:line="360" w:lineRule="exact"/>
              <w:ind w:left="149" w:right="80" w:rightChars="38" w:hanging="148" w:hangingChars="62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A79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40" w:type="dxa"/>
            <w:noWrap/>
            <w:vAlign w:val="center"/>
          </w:tcPr>
          <w:p w14:paraId="0B3EF21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详细地址</w:t>
            </w:r>
          </w:p>
        </w:tc>
        <w:tc>
          <w:tcPr>
            <w:tcW w:w="7970" w:type="dxa"/>
            <w:gridSpan w:val="8"/>
            <w:noWrap/>
            <w:vAlign w:val="center"/>
          </w:tcPr>
          <w:p w14:paraId="08D9E6D9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E4E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340" w:type="dxa"/>
            <w:noWrap/>
            <w:vAlign w:val="center"/>
          </w:tcPr>
          <w:p w14:paraId="1F31F9E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联系人</w:t>
            </w:r>
          </w:p>
        </w:tc>
        <w:tc>
          <w:tcPr>
            <w:tcW w:w="4152" w:type="dxa"/>
            <w:gridSpan w:val="4"/>
            <w:noWrap/>
            <w:vAlign w:val="center"/>
          </w:tcPr>
          <w:p w14:paraId="5B4D93D9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4A2DBFC0">
            <w:pPr>
              <w:keepNext/>
              <w:spacing w:line="360" w:lineRule="exact"/>
              <w:ind w:right="80" w:rightChars="38"/>
              <w:jc w:val="center"/>
              <w:outlineLvl w:val="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E-mail</w:t>
            </w:r>
          </w:p>
        </w:tc>
        <w:tc>
          <w:tcPr>
            <w:tcW w:w="2014" w:type="dxa"/>
            <w:noWrap/>
            <w:vAlign w:val="center"/>
          </w:tcPr>
          <w:p w14:paraId="5822135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7DB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40" w:type="dxa"/>
            <w:noWrap/>
            <w:vAlign w:val="center"/>
          </w:tcPr>
          <w:p w14:paraId="03B7B7F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电    话</w:t>
            </w:r>
          </w:p>
        </w:tc>
        <w:tc>
          <w:tcPr>
            <w:tcW w:w="4152" w:type="dxa"/>
            <w:gridSpan w:val="4"/>
            <w:noWrap/>
            <w:vAlign w:val="center"/>
          </w:tcPr>
          <w:p w14:paraId="3A186DF8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563F9FA1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传  真</w:t>
            </w:r>
          </w:p>
        </w:tc>
        <w:tc>
          <w:tcPr>
            <w:tcW w:w="2014" w:type="dxa"/>
            <w:noWrap/>
            <w:vAlign w:val="center"/>
          </w:tcPr>
          <w:p w14:paraId="61DBC9D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210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40" w:type="dxa"/>
            <w:noWrap/>
            <w:vAlign w:val="center"/>
          </w:tcPr>
          <w:p w14:paraId="3BBE4B91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  名</w:t>
            </w:r>
          </w:p>
        </w:tc>
        <w:tc>
          <w:tcPr>
            <w:tcW w:w="1052" w:type="dxa"/>
            <w:noWrap/>
            <w:vAlign w:val="center"/>
          </w:tcPr>
          <w:p w14:paraId="0E65E01B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1257" w:type="dxa"/>
            <w:noWrap/>
            <w:vAlign w:val="center"/>
          </w:tcPr>
          <w:p w14:paraId="75532AE5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部门</w:t>
            </w:r>
          </w:p>
        </w:tc>
        <w:tc>
          <w:tcPr>
            <w:tcW w:w="1843" w:type="dxa"/>
            <w:gridSpan w:val="2"/>
            <w:noWrap/>
            <w:vAlign w:val="center"/>
          </w:tcPr>
          <w:p w14:paraId="12A19126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职务</w:t>
            </w:r>
          </w:p>
        </w:tc>
        <w:tc>
          <w:tcPr>
            <w:tcW w:w="1804" w:type="dxa"/>
            <w:gridSpan w:val="3"/>
            <w:noWrap/>
            <w:vAlign w:val="center"/>
          </w:tcPr>
          <w:p w14:paraId="5B4A1F51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手机</w:t>
            </w:r>
          </w:p>
        </w:tc>
        <w:tc>
          <w:tcPr>
            <w:tcW w:w="2014" w:type="dxa"/>
            <w:noWrap/>
            <w:vAlign w:val="center"/>
          </w:tcPr>
          <w:p w14:paraId="45A04F53">
            <w:pPr>
              <w:spacing w:line="360" w:lineRule="exact"/>
              <w:ind w:right="80" w:rightChars="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E-mail</w:t>
            </w:r>
          </w:p>
        </w:tc>
      </w:tr>
      <w:tr w14:paraId="22A0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40" w:type="dxa"/>
            <w:noWrap/>
            <w:vAlign w:val="center"/>
          </w:tcPr>
          <w:p w14:paraId="2C1E5A4A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237A95B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30CD3B6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4C6BEC2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634F6DE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7939348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5EF2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340" w:type="dxa"/>
            <w:noWrap/>
            <w:vAlign w:val="center"/>
          </w:tcPr>
          <w:p w14:paraId="1505A17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140F14F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21A401F4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2BEBA64A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0A5724A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4C25BDE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6DE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40" w:type="dxa"/>
            <w:noWrap/>
            <w:vAlign w:val="center"/>
          </w:tcPr>
          <w:p w14:paraId="159FF6A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34C62E53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31EBEED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4336429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13A45858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22DDED2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AFF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40" w:type="dxa"/>
            <w:noWrap/>
            <w:vAlign w:val="center"/>
          </w:tcPr>
          <w:p w14:paraId="1E00A19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194384A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4E45DFDA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69A9837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27253AD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5A4EC59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7C68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40" w:type="dxa"/>
            <w:noWrap/>
            <w:vAlign w:val="center"/>
          </w:tcPr>
          <w:p w14:paraId="62C4AB89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2DF5900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40A3D7B4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6896E8D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006F286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436E601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FAA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40" w:type="dxa"/>
            <w:noWrap/>
            <w:vAlign w:val="center"/>
          </w:tcPr>
          <w:p w14:paraId="4D0A02C3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1418D094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17067A29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6E8939C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217B758B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185929F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02D7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40" w:type="dxa"/>
            <w:noWrap/>
            <w:vAlign w:val="center"/>
          </w:tcPr>
          <w:p w14:paraId="47296D45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52" w:type="dxa"/>
            <w:noWrap/>
            <w:vAlign w:val="center"/>
          </w:tcPr>
          <w:p w14:paraId="1B51C9AF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57" w:type="dxa"/>
            <w:noWrap/>
            <w:vAlign w:val="center"/>
          </w:tcPr>
          <w:p w14:paraId="2BB2FB58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0C611E5D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4" w:type="dxa"/>
            <w:gridSpan w:val="3"/>
            <w:noWrap/>
            <w:vAlign w:val="center"/>
          </w:tcPr>
          <w:p w14:paraId="04D67C87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014" w:type="dxa"/>
            <w:noWrap/>
            <w:vAlign w:val="center"/>
          </w:tcPr>
          <w:p w14:paraId="3373F700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1F67E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0" w:type="dxa"/>
            <w:noWrap/>
            <w:vAlign w:val="center"/>
          </w:tcPr>
          <w:p w14:paraId="1F25FF71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住宿安排</w:t>
            </w:r>
          </w:p>
        </w:tc>
        <w:tc>
          <w:tcPr>
            <w:tcW w:w="7970" w:type="dxa"/>
            <w:gridSpan w:val="8"/>
            <w:noWrap/>
            <w:vAlign w:val="center"/>
          </w:tcPr>
          <w:p w14:paraId="0FC54EAC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□单间    □标间   订房数量</w:t>
            </w:r>
            <w:r>
              <w:rPr>
                <w:rFonts w:hint="eastAsia" w:ascii="仿宋" w:hAnsi="仿宋" w:eastAsia="仿宋" w:cs="仿宋"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间   □自行安排</w:t>
            </w:r>
          </w:p>
        </w:tc>
      </w:tr>
      <w:tr w14:paraId="526F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0" w:type="dxa"/>
            <w:noWrap/>
            <w:vAlign w:val="center"/>
          </w:tcPr>
          <w:p w14:paraId="6FC6BDD3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培训地点</w:t>
            </w:r>
          </w:p>
        </w:tc>
        <w:tc>
          <w:tcPr>
            <w:tcW w:w="7970" w:type="dxa"/>
            <w:gridSpan w:val="8"/>
            <w:noWrap/>
            <w:vAlign w:val="center"/>
          </w:tcPr>
          <w:p w14:paraId="366D4469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□武汉市  □西安市    □乌鲁木齐市  □重庆市  </w:t>
            </w:r>
          </w:p>
          <w:p w14:paraId="18E63442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□长沙市  □哈尔滨市  □厦门市</w:t>
            </w:r>
          </w:p>
        </w:tc>
      </w:tr>
      <w:tr w14:paraId="47E7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40" w:type="dxa"/>
            <w:noWrap/>
            <w:vAlign w:val="center"/>
          </w:tcPr>
          <w:p w14:paraId="1A83BB72"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标准选项</w:t>
            </w:r>
          </w:p>
        </w:tc>
        <w:tc>
          <w:tcPr>
            <w:tcW w:w="4135" w:type="dxa"/>
            <w:gridSpan w:val="3"/>
            <w:noWrap/>
          </w:tcPr>
          <w:p w14:paraId="4ABAB2B8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A□3980元     B□5980元</w:t>
            </w:r>
          </w:p>
          <w:p w14:paraId="7767206C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C□28000元    D□50000元</w:t>
            </w:r>
          </w:p>
        </w:tc>
        <w:tc>
          <w:tcPr>
            <w:tcW w:w="1045" w:type="dxa"/>
            <w:gridSpan w:val="3"/>
            <w:noWrap/>
          </w:tcPr>
          <w:p w14:paraId="4A53B86F">
            <w:pPr>
              <w:spacing w:line="720" w:lineRule="auto"/>
              <w:ind w:left="241" w:hanging="241" w:hangingChars="10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金  额</w:t>
            </w:r>
          </w:p>
        </w:tc>
        <w:tc>
          <w:tcPr>
            <w:tcW w:w="2790" w:type="dxa"/>
            <w:gridSpan w:val="2"/>
            <w:noWrap/>
          </w:tcPr>
          <w:p w14:paraId="08D75511"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971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0" w:type="dxa"/>
            <w:noWrap/>
            <w:vAlign w:val="center"/>
          </w:tcPr>
          <w:p w14:paraId="74076233">
            <w:pPr>
              <w:ind w:right="122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证书申报</w:t>
            </w:r>
          </w:p>
        </w:tc>
        <w:tc>
          <w:tcPr>
            <w:tcW w:w="7970" w:type="dxa"/>
            <w:gridSpan w:val="8"/>
            <w:noWrap/>
          </w:tcPr>
          <w:p w14:paraId="5A4F2601">
            <w:pPr>
              <w:spacing w:line="360" w:lineRule="auto"/>
              <w:ind w:right="122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□商务经理     □成本经理   □造价经理   □项目经理</w:t>
            </w:r>
          </w:p>
        </w:tc>
      </w:tr>
      <w:tr w14:paraId="5C6A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340" w:type="dxa"/>
            <w:noWrap/>
            <w:vAlign w:val="center"/>
          </w:tcPr>
          <w:p w14:paraId="0D203CA7">
            <w:pPr>
              <w:ind w:right="80" w:rightChars="38"/>
              <w:rPr>
                <w:rFonts w:hint="eastAsia" w:ascii="仿宋" w:hAnsi="仿宋" w:eastAsia="仿宋" w:cs="仿宋"/>
                <w:b/>
                <w:bCs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发票类别</w:t>
            </w:r>
          </w:p>
        </w:tc>
        <w:tc>
          <w:tcPr>
            <w:tcW w:w="7970" w:type="dxa"/>
            <w:gridSpan w:val="8"/>
            <w:noWrap/>
          </w:tcPr>
          <w:p w14:paraId="28C3943B">
            <w:pPr>
              <w:ind w:right="80" w:rightChars="3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增值税（□普通□专用）发票,开票信息如下：</w:t>
            </w:r>
          </w:p>
          <w:p w14:paraId="721A72CC">
            <w:pPr>
              <w:ind w:right="80" w:rightChars="3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 位 名 称：</w:t>
            </w:r>
          </w:p>
          <w:p w14:paraId="7BB2F45E">
            <w:pPr>
              <w:ind w:right="80" w:rightChars="3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税       号：</w:t>
            </w:r>
          </w:p>
          <w:p w14:paraId="1B55A885">
            <w:pPr>
              <w:ind w:right="80" w:rightChars="38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地址、 电话：</w:t>
            </w:r>
          </w:p>
          <w:p w14:paraId="402EBF39">
            <w:pPr>
              <w:ind w:right="80" w:rightChars="38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开户行、账号：</w:t>
            </w:r>
          </w:p>
        </w:tc>
      </w:tr>
      <w:tr w14:paraId="55FC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340" w:type="dxa"/>
            <w:noWrap/>
            <w:vAlign w:val="center"/>
          </w:tcPr>
          <w:p w14:paraId="05F208FE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指定收款账    户</w:t>
            </w:r>
          </w:p>
        </w:tc>
        <w:tc>
          <w:tcPr>
            <w:tcW w:w="7970" w:type="dxa"/>
            <w:gridSpan w:val="8"/>
            <w:noWrap/>
            <w:vAlign w:val="center"/>
          </w:tcPr>
          <w:p w14:paraId="13886F4D">
            <w:pPr>
              <w:spacing w:line="360" w:lineRule="auto"/>
              <w:ind w:right="80" w:rightChars="38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单位名称：北京众兴企培咨询有限公司</w:t>
            </w:r>
          </w:p>
          <w:p w14:paraId="137CF206">
            <w:pPr>
              <w:spacing w:line="360" w:lineRule="auto"/>
              <w:ind w:right="80" w:rightChars="38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开户行：中国工商银行股份有限公司北京龙泉支行</w:t>
            </w:r>
          </w:p>
          <w:p w14:paraId="44FA97F6">
            <w:pPr>
              <w:spacing w:line="360" w:lineRule="exact"/>
              <w:ind w:right="80" w:rightChars="38"/>
              <w:rPr>
                <w:rFonts w:hint="eastAsia" w:ascii="仿宋" w:hAnsi="仿宋" w:eastAsia="仿宋" w:cs="仿宋"/>
                <w:bCs/>
                <w:sz w:val="24"/>
                <w:lang w:bidi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账  号：0200002009200234085（行号：102100000208)</w:t>
            </w:r>
          </w:p>
        </w:tc>
      </w:tr>
    </w:tbl>
    <w:p w14:paraId="5DF57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9"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 1、请尽早报名，额满为止。参会报名表复制有效</w:t>
      </w:r>
    </w:p>
    <w:p w14:paraId="63BC6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9" w:firstLine="1440" w:firstLineChars="60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bookmarkStart w:id="1" w:name="_GoBack"/>
      <w:bookmarkEnd w:id="1"/>
      <w:r>
        <w:rPr>
          <w:rFonts w:hint="eastAsia" w:ascii="仿宋" w:hAnsi="仿宋" w:eastAsia="仿宋" w:cs="仿宋"/>
          <w:bCs/>
          <w:sz w:val="24"/>
        </w:rPr>
        <w:t xml:space="preserve">报名负责人：聂红军 主任18211071700（微信）   </w:t>
      </w:r>
    </w:p>
    <w:p w14:paraId="37494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9" w:firstLine="1440" w:firstLineChars="60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电    话：13141289128        邮    箱：zqgphwz@126.com  </w:t>
      </w:r>
    </w:p>
    <w:p w14:paraId="03E0D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19" w:firstLine="1440" w:firstLineChars="600"/>
        <w:jc w:val="left"/>
        <w:textAlignment w:val="auto"/>
      </w:pPr>
      <w:r>
        <w:rPr>
          <w:rFonts w:hint="eastAsia" w:ascii="仿宋" w:hAnsi="仿宋" w:eastAsia="仿宋" w:cs="仿宋"/>
          <w:bCs/>
          <w:sz w:val="24"/>
        </w:rPr>
        <w:t xml:space="preserve">qq咨询：3177524020          网    址：http://www.zqgpchina.cn </w:t>
      </w:r>
    </w:p>
    <w:sectPr>
      <w:footerReference r:id="rId3" w:type="default"/>
      <w:pgSz w:w="11906" w:h="16838"/>
      <w:pgMar w:top="1270" w:right="1133" w:bottom="127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36BD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4AEAC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7b5PcUBAACb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n5ijMrDD345eePy68/l9/f2TLJ&#10;03usqOreU10c3rmBlmaOIwUT66ENJn2JD6M8iXu+igtDZDJdWq/W65JSknKzQ/jFw3UfML4HZ1gy&#10;ah7o9bKo4vQR41g6l6Ru1t0prfMLavtPgDDHCOQVmG4nJuPEyYrDfpjo7V1zJnY9rUHNLW09Z/qD&#10;JZXTxsxGmI39ZKSO6G+PkcbI0yXUEYpYJYfeLPOb9istxWM/Vz38U9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Gu2+T3FAQAAm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4AEAC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OWEzN2Y5ZGYxYTY2NDAzN2JhMDllZmNiOTE0OTEifQ=="/>
  </w:docVars>
  <w:rsids>
    <w:rsidRoot w:val="52BA4540"/>
    <w:rsid w:val="00000270"/>
    <w:rsid w:val="00150160"/>
    <w:rsid w:val="00157323"/>
    <w:rsid w:val="00213320"/>
    <w:rsid w:val="00387770"/>
    <w:rsid w:val="003F3276"/>
    <w:rsid w:val="003F4806"/>
    <w:rsid w:val="0060459A"/>
    <w:rsid w:val="006C233B"/>
    <w:rsid w:val="007275B0"/>
    <w:rsid w:val="00765308"/>
    <w:rsid w:val="00767CED"/>
    <w:rsid w:val="007D158D"/>
    <w:rsid w:val="00831B5C"/>
    <w:rsid w:val="00877A7D"/>
    <w:rsid w:val="008C6D08"/>
    <w:rsid w:val="00940B8F"/>
    <w:rsid w:val="00971E24"/>
    <w:rsid w:val="00A86AD4"/>
    <w:rsid w:val="00AF5A15"/>
    <w:rsid w:val="00BE744B"/>
    <w:rsid w:val="00C416B2"/>
    <w:rsid w:val="00D01D9C"/>
    <w:rsid w:val="00DE5AA0"/>
    <w:rsid w:val="00E962B7"/>
    <w:rsid w:val="00EF6DD6"/>
    <w:rsid w:val="00EF7B2D"/>
    <w:rsid w:val="00FD14F0"/>
    <w:rsid w:val="02807BD4"/>
    <w:rsid w:val="031C2553"/>
    <w:rsid w:val="04616612"/>
    <w:rsid w:val="062B03BE"/>
    <w:rsid w:val="069854E9"/>
    <w:rsid w:val="06A122E1"/>
    <w:rsid w:val="07247696"/>
    <w:rsid w:val="09000A8C"/>
    <w:rsid w:val="094A296F"/>
    <w:rsid w:val="099C43EE"/>
    <w:rsid w:val="0A4817E5"/>
    <w:rsid w:val="0AA75F99"/>
    <w:rsid w:val="0ABB6432"/>
    <w:rsid w:val="0AF344C3"/>
    <w:rsid w:val="0BEB438E"/>
    <w:rsid w:val="0C1E5DCC"/>
    <w:rsid w:val="0DA01F4C"/>
    <w:rsid w:val="0DB877F3"/>
    <w:rsid w:val="0E0628F4"/>
    <w:rsid w:val="0EA71FE5"/>
    <w:rsid w:val="0FAE0CE2"/>
    <w:rsid w:val="0FBD42BF"/>
    <w:rsid w:val="10F900DB"/>
    <w:rsid w:val="114E1606"/>
    <w:rsid w:val="11521612"/>
    <w:rsid w:val="121512EE"/>
    <w:rsid w:val="12E530F1"/>
    <w:rsid w:val="132105EB"/>
    <w:rsid w:val="133E25B0"/>
    <w:rsid w:val="13692E5D"/>
    <w:rsid w:val="148F32E9"/>
    <w:rsid w:val="15FF7AD6"/>
    <w:rsid w:val="16504596"/>
    <w:rsid w:val="166636FC"/>
    <w:rsid w:val="1674406C"/>
    <w:rsid w:val="169F25B4"/>
    <w:rsid w:val="18085389"/>
    <w:rsid w:val="18E303B5"/>
    <w:rsid w:val="1966404B"/>
    <w:rsid w:val="1A942C5A"/>
    <w:rsid w:val="1B995BCE"/>
    <w:rsid w:val="1BAD5FE6"/>
    <w:rsid w:val="1C4E63EC"/>
    <w:rsid w:val="1D5C7817"/>
    <w:rsid w:val="1E327AC3"/>
    <w:rsid w:val="1E953EB3"/>
    <w:rsid w:val="1EEE0DF0"/>
    <w:rsid w:val="1F70661C"/>
    <w:rsid w:val="200A78E9"/>
    <w:rsid w:val="20677580"/>
    <w:rsid w:val="2142553D"/>
    <w:rsid w:val="21D06ED2"/>
    <w:rsid w:val="22E05EA5"/>
    <w:rsid w:val="238F6508"/>
    <w:rsid w:val="23BB0D6A"/>
    <w:rsid w:val="26202B93"/>
    <w:rsid w:val="26BB3CAD"/>
    <w:rsid w:val="2B41674B"/>
    <w:rsid w:val="2C1300E8"/>
    <w:rsid w:val="2C7F752B"/>
    <w:rsid w:val="2E252C61"/>
    <w:rsid w:val="3182786A"/>
    <w:rsid w:val="31B604B7"/>
    <w:rsid w:val="31E72C6D"/>
    <w:rsid w:val="336C3D67"/>
    <w:rsid w:val="33997124"/>
    <w:rsid w:val="3588760A"/>
    <w:rsid w:val="35B83942"/>
    <w:rsid w:val="3622399D"/>
    <w:rsid w:val="36266C69"/>
    <w:rsid w:val="3786517C"/>
    <w:rsid w:val="37BF3CB2"/>
    <w:rsid w:val="38EA0422"/>
    <w:rsid w:val="38EA055A"/>
    <w:rsid w:val="3A1319B2"/>
    <w:rsid w:val="3A88267B"/>
    <w:rsid w:val="3A9A47DC"/>
    <w:rsid w:val="3B1304BF"/>
    <w:rsid w:val="3B8F15CF"/>
    <w:rsid w:val="3C4E0A92"/>
    <w:rsid w:val="3D9F343D"/>
    <w:rsid w:val="3DA10D6C"/>
    <w:rsid w:val="3E1066B3"/>
    <w:rsid w:val="3FB13A48"/>
    <w:rsid w:val="412A7D53"/>
    <w:rsid w:val="42B36F75"/>
    <w:rsid w:val="434723A4"/>
    <w:rsid w:val="4515782D"/>
    <w:rsid w:val="45444777"/>
    <w:rsid w:val="4549112E"/>
    <w:rsid w:val="48AF10D5"/>
    <w:rsid w:val="499841C5"/>
    <w:rsid w:val="49B01B40"/>
    <w:rsid w:val="49D21786"/>
    <w:rsid w:val="49EF5898"/>
    <w:rsid w:val="4AD93CE9"/>
    <w:rsid w:val="4B6B1A45"/>
    <w:rsid w:val="4D065F7D"/>
    <w:rsid w:val="4D724DE1"/>
    <w:rsid w:val="4E395334"/>
    <w:rsid w:val="4F251D63"/>
    <w:rsid w:val="50406141"/>
    <w:rsid w:val="50D5276F"/>
    <w:rsid w:val="51905188"/>
    <w:rsid w:val="51A27B9B"/>
    <w:rsid w:val="52A37C23"/>
    <w:rsid w:val="52BA4540"/>
    <w:rsid w:val="52E521EE"/>
    <w:rsid w:val="53E47FE9"/>
    <w:rsid w:val="54A61249"/>
    <w:rsid w:val="54EC0A6C"/>
    <w:rsid w:val="553C32C9"/>
    <w:rsid w:val="553C3544"/>
    <w:rsid w:val="55525F8E"/>
    <w:rsid w:val="55D1599B"/>
    <w:rsid w:val="563105E9"/>
    <w:rsid w:val="57056335"/>
    <w:rsid w:val="57B67DC0"/>
    <w:rsid w:val="5A21751A"/>
    <w:rsid w:val="5A242806"/>
    <w:rsid w:val="5C065F82"/>
    <w:rsid w:val="5C1024F3"/>
    <w:rsid w:val="5C2E1A3D"/>
    <w:rsid w:val="5C49715E"/>
    <w:rsid w:val="5CE0556F"/>
    <w:rsid w:val="5D12661A"/>
    <w:rsid w:val="5DD6264D"/>
    <w:rsid w:val="5E8C0937"/>
    <w:rsid w:val="5F8E3126"/>
    <w:rsid w:val="5FD62E3B"/>
    <w:rsid w:val="5FE4523B"/>
    <w:rsid w:val="60940AF0"/>
    <w:rsid w:val="61915012"/>
    <w:rsid w:val="61FA14C7"/>
    <w:rsid w:val="61FA2997"/>
    <w:rsid w:val="62D1212E"/>
    <w:rsid w:val="63637DFA"/>
    <w:rsid w:val="648275DD"/>
    <w:rsid w:val="65BC08CD"/>
    <w:rsid w:val="65FF6A0B"/>
    <w:rsid w:val="66124726"/>
    <w:rsid w:val="66500B25"/>
    <w:rsid w:val="67510AEF"/>
    <w:rsid w:val="683A1934"/>
    <w:rsid w:val="684D4516"/>
    <w:rsid w:val="68B72EDE"/>
    <w:rsid w:val="696D1EDE"/>
    <w:rsid w:val="6ABB5738"/>
    <w:rsid w:val="6BDB3353"/>
    <w:rsid w:val="6C6450ED"/>
    <w:rsid w:val="6D934609"/>
    <w:rsid w:val="70223A22"/>
    <w:rsid w:val="70C404E8"/>
    <w:rsid w:val="715916C6"/>
    <w:rsid w:val="718A3161"/>
    <w:rsid w:val="71CD72E3"/>
    <w:rsid w:val="729919FD"/>
    <w:rsid w:val="731A007D"/>
    <w:rsid w:val="74F80F82"/>
    <w:rsid w:val="750E704A"/>
    <w:rsid w:val="757B3CD3"/>
    <w:rsid w:val="75C534A2"/>
    <w:rsid w:val="75D62561"/>
    <w:rsid w:val="75EB48B6"/>
    <w:rsid w:val="77062B32"/>
    <w:rsid w:val="77100891"/>
    <w:rsid w:val="794756F7"/>
    <w:rsid w:val="7A116B86"/>
    <w:rsid w:val="7A484E92"/>
    <w:rsid w:val="7AFC5069"/>
    <w:rsid w:val="7B2745E3"/>
    <w:rsid w:val="7C1B73C2"/>
    <w:rsid w:val="7D284642"/>
    <w:rsid w:val="7D4C1230"/>
    <w:rsid w:val="7D8950E1"/>
    <w:rsid w:val="7E374B3D"/>
    <w:rsid w:val="7FD9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  <w:style w:type="paragraph" w:styleId="3">
    <w:name w:val="Body Text Indent"/>
    <w:basedOn w:val="1"/>
    <w:next w:val="4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Body Text First Indent 2"/>
    <w:basedOn w:val="3"/>
    <w:next w:val="1"/>
    <w:autoRedefine/>
    <w:qFormat/>
    <w:uiPriority w:val="99"/>
    <w:pPr>
      <w:ind w:firstLine="420" w:firstLineChars="200"/>
    </w:pPr>
    <w:rPr>
      <w:sz w:val="24"/>
    </w:rPr>
  </w:style>
  <w:style w:type="character" w:styleId="10">
    <w:name w:val="Strong"/>
    <w:basedOn w:val="9"/>
    <w:autoRedefine/>
    <w:qFormat/>
    <w:uiPriority w:val="22"/>
    <w:rPr>
      <w:rFonts w:ascii="Times New Roman" w:hAnsi="Times New Roman" w:eastAsia="宋体" w:cs="Times New Roman"/>
      <w:b/>
      <w:bCs/>
    </w:rPr>
  </w:style>
  <w:style w:type="paragraph" w:styleId="11">
    <w:name w:val="List Paragraph"/>
    <w:basedOn w:val="1"/>
    <w:autoRedefine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719E6C-A61F-4847-B4E3-36BBC50277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899</Words>
  <Characters>1102</Characters>
  <Lines>261</Lines>
  <Paragraphs>263</Paragraphs>
  <TotalTime>16</TotalTime>
  <ScaleCrop>false</ScaleCrop>
  <LinksUpToDate>false</LinksUpToDate>
  <CharactersWithSpaces>1222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2025-01-15T09:03:00Z</dcterms:created>
  <dc:creator>姣 儿</dc:creator>
  <cp:lastModifiedBy>聂红军</cp:lastModifiedBy>
  <dcterms:modified xsi:type="dcterms:W3CDTF">2025-08-29T02:56:29Z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0D9E092D005448F4A186016F1E09A83F_13</vt:lpwstr>
  </property>
  <property fmtid="{D5CDD505-2E9C-101B-9397-08002B2CF9AE}" pid="4" name="KSOTemplateDocerSaveRecord">
    <vt:lpwstr>eyJoZGlkIjoiZTUyMWM5NTU3NmQwMzYzZGY2NjUyMjZkNDUzMDVhNDkiLCJ1c2VySWQiOiI0OTM4MTE0ODQifQ==</vt:lpwstr>
  </property>
</Properties>
</file>