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0F5C">
      <w:pPr>
        <w:adjustRightInd w:val="0"/>
        <w:snapToGrid w:val="0"/>
        <w:jc w:val="distribute"/>
        <w:rPr>
          <w:rFonts w:hint="eastAsia" w:asciiTheme="majorEastAsia" w:hAnsiTheme="majorEastAsia" w:eastAsiaTheme="majorEastAsia" w:cstheme="majorEastAsia"/>
          <w:b/>
          <w:bCs/>
          <w:color w:val="FF0000"/>
          <w:w w:val="80"/>
          <w:sz w:val="84"/>
          <w:szCs w:val="84"/>
        </w:rPr>
      </w:pPr>
    </w:p>
    <w:p w14:paraId="2C2E718B">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039A0995">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1312;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14:paraId="27C01D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w:t>关于举办“新时代政府采购新政解读与央国企招标采购全流程管控、供应链管理及招投标风险防范专题培训班”的通知</w:t>
      </w:r>
    </w:p>
    <w:p w14:paraId="6BD2EECF">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14:paraId="22E09941">
      <w:pPr>
        <w:pStyle w:val="10"/>
        <w:ind w:firstLine="5376" w:firstLineChars="2100"/>
        <w:jc w:val="right"/>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val="0"/>
          <w:bCs w:val="0"/>
          <w:color w:val="000000" w:themeColor="text1"/>
          <w:spacing w:val="-12"/>
          <w:sz w:val="28"/>
          <w:szCs w:val="28"/>
          <w14:textFill>
            <w14:solidFill>
              <w14:schemeClr w14:val="tx1"/>
            </w14:solidFill>
          </w14:textFill>
        </w:rPr>
        <w:t>国咨协［2025］</w:t>
      </w:r>
      <w:r>
        <w:rPr>
          <w:rFonts w:hint="eastAsia" w:ascii="仿宋" w:hAnsi="仿宋" w:eastAsia="仿宋" w:cs="仿宋"/>
          <w:b w:val="0"/>
          <w:bCs w:val="0"/>
          <w:color w:val="000000" w:themeColor="text1"/>
          <w:spacing w:val="-12"/>
          <w:sz w:val="28"/>
          <w:szCs w:val="28"/>
          <w:lang w:val="en-US" w:eastAsia="zh-CN"/>
          <w14:textFill>
            <w14:solidFill>
              <w14:schemeClr w14:val="tx1"/>
            </w14:solidFill>
          </w14:textFill>
        </w:rPr>
        <w:t>117</w:t>
      </w:r>
      <w:r>
        <w:rPr>
          <w:rFonts w:hint="eastAsia" w:ascii="仿宋" w:hAnsi="仿宋" w:eastAsia="仿宋" w:cs="仿宋"/>
          <w:b w:val="0"/>
          <w:bCs w:val="0"/>
          <w:color w:val="000000" w:themeColor="text1"/>
          <w:spacing w:val="-12"/>
          <w:sz w:val="28"/>
          <w:szCs w:val="28"/>
          <w14:textFill>
            <w14:solidFill>
              <w14:schemeClr w14:val="tx1"/>
            </w14:solidFill>
          </w14:textFill>
        </w:rPr>
        <w:t>号</w:t>
      </w:r>
    </w:p>
    <w:p w14:paraId="76428D5B">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72A735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随着我国经济进入高质量发展新阶段，深化政府采购制度改革、优化营商环境、维护公平竞争的市场秩序已成为国家的重要战略部署。近年来，国家密集出台并实施了一系列新的法律法规与政策，对政府采购和国有企业的招标采购活动提出了更高、更严、更规范的要求。国务院国资委</w:t>
      </w:r>
      <w:r>
        <w:rPr>
          <w:rFonts w:hint="default" w:ascii="仿宋" w:hAnsi="仿宋" w:eastAsia="仿宋" w:cs="仿宋"/>
          <w:color w:val="000000" w:themeColor="text1"/>
          <w:kern w:val="0"/>
          <w:sz w:val="28"/>
          <w:szCs w:val="28"/>
          <w:lang w:val="en-US" w:eastAsia="zh-CN" w:bidi="ar-SA"/>
          <w14:textFill>
            <w14:solidFill>
              <w14:schemeClr w14:val="tx1"/>
            </w14:solidFill>
          </w14:textFill>
        </w:rPr>
        <w:t>持续推动中央企业深化供应链管理体系变革，积极打造精益化、协同化、国际化、智慧化、绿色化的现代供应链</w:t>
      </w:r>
      <w:r>
        <w:rPr>
          <w:rFonts w:hint="eastAsia" w:ascii="仿宋" w:hAnsi="仿宋" w:eastAsia="仿宋" w:cs="仿宋"/>
          <w:color w:val="000000" w:themeColor="text1"/>
          <w:kern w:val="0"/>
          <w:sz w:val="28"/>
          <w:szCs w:val="28"/>
          <w:lang w:val="en-US" w:eastAsia="zh-CN" w:bidi="ar-SA"/>
          <w14:textFill>
            <w14:solidFill>
              <w14:schemeClr w14:val="tx1"/>
            </w14:solidFill>
          </w14:textFill>
        </w:rPr>
        <w:t>。然而，在实践中，采购单位仍面临政策理解不透、流程执行不规范、风险防控意识不足等挑战；</w:t>
      </w:r>
      <w:r>
        <w:rPr>
          <w:rFonts w:hint="default" w:ascii="仿宋" w:hAnsi="仿宋" w:eastAsia="仿宋" w:cs="仿宋"/>
          <w:color w:val="000000" w:themeColor="text1"/>
          <w:kern w:val="0"/>
          <w:sz w:val="28"/>
          <w:szCs w:val="28"/>
          <w:lang w:val="en-US" w:eastAsia="zh-CN" w:bidi="ar-SA"/>
          <w14:textFill>
            <w14:solidFill>
              <w14:schemeClr w14:val="tx1"/>
            </w14:solidFill>
          </w14:textFill>
        </w:rPr>
        <w:t>央国企在采购管理中</w:t>
      </w:r>
      <w:r>
        <w:rPr>
          <w:rFonts w:hint="eastAsia" w:ascii="仿宋" w:hAnsi="仿宋" w:eastAsia="仿宋" w:cs="仿宋"/>
          <w:color w:val="000000" w:themeColor="text1"/>
          <w:kern w:val="0"/>
          <w:sz w:val="28"/>
          <w:szCs w:val="28"/>
          <w:lang w:val="en-US" w:eastAsia="zh-CN" w:bidi="ar-SA"/>
          <w14:textFill>
            <w14:solidFill>
              <w14:schemeClr w14:val="tx1"/>
            </w14:solidFill>
          </w14:textFill>
        </w:rPr>
        <w:t>也</w:t>
      </w:r>
      <w:r>
        <w:rPr>
          <w:rFonts w:hint="default" w:ascii="仿宋" w:hAnsi="仿宋" w:eastAsia="仿宋" w:cs="仿宋"/>
          <w:color w:val="000000" w:themeColor="text1"/>
          <w:kern w:val="0"/>
          <w:sz w:val="28"/>
          <w:szCs w:val="28"/>
          <w:lang w:val="en-US" w:eastAsia="zh-CN" w:bidi="ar-SA"/>
          <w14:textFill>
            <w14:solidFill>
              <w14:schemeClr w14:val="tx1"/>
            </w14:solidFill>
          </w14:textFill>
        </w:rPr>
        <w:t>普遍存在合规性风险与流程效率的矛盾、供应链韧性不足与成本控制的冲突以及技术架构滞后与数字化转型的差距等痛点</w:t>
      </w:r>
      <w:r>
        <w:rPr>
          <w:rFonts w:hint="eastAsia" w:ascii="仿宋" w:hAnsi="仿宋" w:eastAsia="仿宋" w:cs="仿宋"/>
          <w:color w:val="000000" w:themeColor="text1"/>
          <w:kern w:val="0"/>
          <w:sz w:val="28"/>
          <w:szCs w:val="28"/>
          <w:lang w:val="en-US" w:eastAsia="zh-CN" w:bidi="ar-SA"/>
          <w14:textFill>
            <w14:solidFill>
              <w14:schemeClr w14:val="tx1"/>
            </w14:solidFill>
          </w14:textFill>
        </w:rPr>
        <w:t>。</w:t>
      </w:r>
    </w:p>
    <w:p w14:paraId="46C874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b/>
          <w:bCs/>
          <w:sz w:val="28"/>
          <w:szCs w:val="28"/>
          <w:lang w:val="en-US" w:eastAsia="zh-CN"/>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为帮助政府采购相关单位及央国企准确把握最新政策导向，熟练掌握全流程操作实务，有效提升供应链管理效能，切实防范各类招投标风险</w:t>
      </w:r>
      <w:r>
        <w:rPr>
          <w:rFonts w:hint="eastAsia" w:ascii="仿宋" w:hAnsi="仿宋" w:eastAsia="仿宋" w:cs="仿宋"/>
          <w:color w:val="000000" w:themeColor="text1"/>
          <w:kern w:val="0"/>
          <w:sz w:val="28"/>
          <w:szCs w:val="28"/>
          <w:lang w:val="en-US" w:eastAsia="zh-CN" w:bidi="ar-SA"/>
          <w14:textFill>
            <w14:solidFill>
              <w14:schemeClr w14:val="tx1"/>
            </w14:solidFill>
          </w14:textFill>
        </w:rPr>
        <w:t>，我会决定举办“新时代政府采购新政解读与央国企招标采购全流程管控、供应链管理及招投标风险防范专题培训班”。本次培训班由中国国际工程咨询协会主办，北京比时教育咨询有限公司承办，请各单位积极组织相关人员参加。现将有关事项通知如下：</w:t>
      </w:r>
    </w:p>
    <w:p w14:paraId="6142BF9B">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一、培训收益</w:t>
      </w:r>
    </w:p>
    <w:p w14:paraId="1EED517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1.帮助政府采购单位和广大央国企精准理解新政要点、优化全流程管控、构建合规高效的采购管理制度；</w:t>
      </w:r>
    </w:p>
    <w:p w14:paraId="22B9A53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2.有效防范日益复杂的法律与操作风险的现实挑战，系统掌握实操要领；</w:t>
      </w:r>
    </w:p>
    <w:p w14:paraId="21E46C7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3.全面提升采购从业人员的专业素养与风险防控能力；</w:t>
      </w:r>
    </w:p>
    <w:p w14:paraId="6337872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4.助力企业降本增效，实现供应链的稳健与优化。</w:t>
      </w:r>
    </w:p>
    <w:p w14:paraId="416ED96B">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default"/>
          <w:lang w:val="en-US"/>
        </w:rPr>
      </w:pPr>
      <w:r>
        <w:rPr>
          <w:rFonts w:hint="eastAsia" w:ascii="仿宋" w:hAnsi="仿宋" w:eastAsia="仿宋" w:cs="仿宋"/>
          <w:b/>
          <w:bCs/>
          <w:sz w:val="28"/>
          <w:szCs w:val="28"/>
          <w:lang w:val="en-US" w:eastAsia="zh-CN"/>
        </w:rPr>
        <w:t>二、培训内容</w:t>
      </w:r>
    </w:p>
    <w:p w14:paraId="38ABEB1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第一部分：最新政府采购与招标投标法律法规政策深度解读</w:t>
      </w:r>
    </w:p>
    <w:p w14:paraId="63D1EE4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1.《政府采购法》修订核心要点及未来趋势前瞻；</w:t>
      </w:r>
    </w:p>
    <w:p w14:paraId="62FD80A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2.最新《优化营商环境条例》在采购领域的具体落实与影响分析；</w:t>
      </w:r>
    </w:p>
    <w:p w14:paraId="512752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3.政府采购需求管理新规的实操要点与案例分析；</w:t>
      </w:r>
    </w:p>
    <w:p w14:paraId="130B211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4.国有企业采购相关行业标准(《操作规范》、《管理规范》)的应用解析；</w:t>
      </w:r>
    </w:p>
    <w:p w14:paraId="5F613A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5.国家在支持创新、绿色采购及中小企业发展方面的最新政策导向。</w:t>
      </w:r>
    </w:p>
    <w:p w14:paraId="343EA88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第二部分：打造公平竞争、高效透明的采购营商环境</w:t>
      </w:r>
    </w:p>
    <w:p w14:paraId="3D83FF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1.公平竞争审查制度在采购活动中的具体实施；</w:t>
      </w:r>
    </w:p>
    <w:p w14:paraId="1CDF813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2.如何识别与清理各类隐形壁垒和歧视性条款；</w:t>
      </w:r>
    </w:p>
    <w:p w14:paraId="471366C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3.保障供应商平等参与权的实务操作:从信息发布到资格预审；</w:t>
      </w:r>
    </w:p>
    <w:p w14:paraId="3A1F68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4.建立供应商投诉与救济机制，提升采购公信力；</w:t>
      </w:r>
    </w:p>
    <w:p w14:paraId="4DF91B1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5.最佳实践分享:国际国内一流采购营商环境案例剖析。</w:t>
      </w:r>
    </w:p>
    <w:p w14:paraId="1AA4732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第三部分：政府采购全流程实务</w:t>
      </w:r>
    </w:p>
    <w:p w14:paraId="50BB50B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1.政府采购文件编制原则与风险防范及审查要点；</w:t>
      </w:r>
    </w:p>
    <w:p w14:paraId="02C8D1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2.政府采购招标方式与非招标方式的适用和实务操作；</w:t>
      </w:r>
    </w:p>
    <w:p w14:paraId="5B777B2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3.围标、串标等违法行为的规避、认定和应对措施；</w:t>
      </w:r>
    </w:p>
    <w:p w14:paraId="533CD8C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4.采购人如何合理引导评审委员会启动异常低价审查机制；</w:t>
      </w:r>
    </w:p>
    <w:p w14:paraId="70C4048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5.减少质疑、投诉和举报的措施及法律适用详解；</w:t>
      </w:r>
    </w:p>
    <w:p w14:paraId="7D7DB4B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6.如何规避采购合同中的法律纠纷及解决方案；</w:t>
      </w:r>
    </w:p>
    <w:p w14:paraId="5A0B2A7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7.如何做好政府采购内控管理及绩效评价。</w:t>
      </w:r>
    </w:p>
    <w:p w14:paraId="5263510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第四部分：战略视角下的供应链管理体系建设、机制创建与采购优化</w:t>
      </w:r>
    </w:p>
    <w:p w14:paraId="5879863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1.国企采购合规体系建设提升方案介绍;</w:t>
      </w:r>
    </w:p>
    <w:p w14:paraId="53D843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2.招标采购与物资装备工作机制优化与加强协同要点分析;</w:t>
      </w:r>
    </w:p>
    <w:p w14:paraId="1BA969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3.集团性企业集中采购各类工作模式讲解与注意事项提示;</w:t>
      </w:r>
    </w:p>
    <w:p w14:paraId="465798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4.央企高质量采购管理体系建设经验案例分享:</w:t>
      </w:r>
    </w:p>
    <w:p w14:paraId="4DFECF8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5.国资委央企采购对标自评体系要点解析:</w:t>
      </w:r>
    </w:p>
    <w:p w14:paraId="3F79DE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6.供应商全生命周期管理系统讲解:</w:t>
      </w:r>
    </w:p>
    <w:p w14:paraId="3A775B5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7.重点解读供应商“库”的建立、使用及结果应用注意事项:</w:t>
      </w:r>
    </w:p>
    <w:p w14:paraId="5414C24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8.采购预算制定、需求计划编制、成本控制价核定方法介绍;</w:t>
      </w:r>
    </w:p>
    <w:p w14:paraId="21A093A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9.采购与供应链绩效考核评价，指标体系介绍。</w:t>
      </w:r>
    </w:p>
    <w:p w14:paraId="6B1610E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第五部分：央国企合规管理制度建设、高效、科学合理策划及案例分享</w:t>
      </w:r>
    </w:p>
    <w:p w14:paraId="1220F7A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1.采购与供应链策划、组织、实施全流程降本增效实例演练;</w:t>
      </w:r>
    </w:p>
    <w:p w14:paraId="57E69E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2央国企采购需求、策划、采购决策重点与难点解析;</w:t>
      </w:r>
    </w:p>
    <w:p w14:paraId="1AFAEBC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3.央国企招标关键步骤(招、投、评、定、合同签订)操作实务;</w:t>
      </w:r>
    </w:p>
    <w:p w14:paraId="71D6911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4.采购方式(询比采购、竞价采购、谈判采购、直接采购)执行流程介绍与注意事项梳理;</w:t>
      </w:r>
    </w:p>
    <w:p w14:paraId="2CB73E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5.采购组织形式介绍，与采购方式搭配策略应用:</w:t>
      </w:r>
    </w:p>
    <w:p w14:paraId="092692E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6.框架协议采购模式操作合规要点及专业要求;</w:t>
      </w:r>
    </w:p>
    <w:p w14:paraId="02BABFC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7.品类管理实务(生产运营类、大宗原材料、工程建设、咨询服务及MRO等品类)采购策略制定与实施程序讲解;</w:t>
      </w:r>
    </w:p>
    <w:p w14:paraId="13915D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8.零星、小额采购良好实践分享;</w:t>
      </w:r>
    </w:p>
    <w:p w14:paraId="348CC33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9.采购价格组成与成本控制及谈判策略;</w:t>
      </w:r>
    </w:p>
    <w:p w14:paraId="4787A55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10.数智化采购与电子商城采购实践分享。</w:t>
      </w:r>
    </w:p>
    <w:p w14:paraId="22F5646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第六部分：招标投标全过程法律风险识别与防范</w:t>
      </w:r>
    </w:p>
    <w:p w14:paraId="239A712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1.风险地图绘制:招标文件编制阶段的常见法律陷阱(倾向性/排他性条款)；</w:t>
      </w:r>
    </w:p>
    <w:p w14:paraId="5A53DB2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2.投标阶段的风险:串通投标、弄虚作假等违法违规行为的识别与防范；</w:t>
      </w:r>
    </w:p>
    <w:p w14:paraId="74D051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3.开标评标阶段的风险:程序瑕疵、评审专家不公正、泄密等风险应对；</w:t>
      </w:r>
    </w:p>
    <w:p w14:paraId="5776AAB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4.合同签订与履行阶段的风险:合同实质性变更、履约纠纷处理；</w:t>
      </w:r>
    </w:p>
    <w:p w14:paraId="4D2E4E80">
      <w:pPr>
        <w:keepNext w:val="0"/>
        <w:keepLines w:val="0"/>
        <w:pageBreakBefore w:val="0"/>
        <w:widowControl w:val="0"/>
        <w:kinsoku/>
        <w:wordWrap/>
        <w:overflowPunct/>
        <w:topLinePunct w:val="0"/>
        <w:autoSpaceDE/>
        <w:autoSpaceDN/>
        <w:bidi w:val="0"/>
        <w:adjustRightInd/>
        <w:snapToGrid/>
        <w:spacing w:line="500" w:lineRule="exact"/>
        <w:ind w:left="559" w:leftChars="266" w:firstLine="0" w:firstLineChars="0"/>
        <w:textAlignment w:val="auto"/>
        <w:rPr>
          <w:rFonts w:hint="default"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5.争议解决与法律责任:质疑、投诉、行政复议与行政诉讼的应对策略；6.典型案例深度剖析:以案说法，汲取教训，筑牢风险防火墙。</w:t>
      </w:r>
    </w:p>
    <w:p w14:paraId="2E18AD40">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三、培训对象</w:t>
      </w:r>
    </w:p>
    <w:p w14:paraId="481F0739">
      <w:pPr>
        <w:keepNext w:val="0"/>
        <w:keepLines w:val="0"/>
        <w:pageBreakBefore w:val="0"/>
        <w:widowControl w:val="0"/>
        <w:kinsoku/>
        <w:wordWrap/>
        <w:overflowPunct/>
        <w:topLinePunct w:val="0"/>
        <w:autoSpaceDE/>
        <w:autoSpaceDN/>
        <w:bidi w:val="0"/>
        <w:adjustRightInd/>
        <w:snapToGrid/>
        <w:spacing w:line="500" w:lineRule="exact"/>
        <w:ind w:left="559" w:leftChars="266" w:firstLine="560" w:firstLineChars="200"/>
        <w:textAlignment w:val="auto"/>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各级政府采购中心、各级监管机构工作人员；各大央企、国企的采购总监、采购经理、供应链管理负责人、法务负责人、合规负责人、项目负责人及业务骨干；招标代理机构从业人员等。</w:t>
      </w:r>
    </w:p>
    <w:p w14:paraId="68817AF5">
      <w:pPr>
        <w:keepNext w:val="0"/>
        <w:keepLines w:val="0"/>
        <w:pageBreakBefore w:val="0"/>
        <w:widowControl w:val="0"/>
        <w:kinsoku/>
        <w:wordWrap/>
        <w:overflowPunct/>
        <w:topLinePunct w:val="0"/>
        <w:autoSpaceDE/>
        <w:autoSpaceDN/>
        <w:bidi w:val="0"/>
        <w:adjustRightInd/>
        <w:snapToGrid/>
        <w:spacing w:line="500" w:lineRule="exact"/>
        <w:ind w:right="0" w:rightChars="0" w:firstLine="562" w:firstLineChars="200"/>
        <w:textAlignment w:val="auto"/>
        <w:rPr>
          <w:rFonts w:hint="eastAsia" w:ascii="仿宋" w:hAnsi="仿宋" w:eastAsia="仿宋" w:cs="仿宋"/>
          <w:b/>
          <w:color w:val="333333"/>
          <w:sz w:val="28"/>
          <w:szCs w:val="28"/>
          <w:shd w:val="clear" w:color="auto" w:fill="FFFFFF"/>
        </w:rPr>
      </w:pPr>
      <w:r>
        <w:rPr>
          <w:rFonts w:hint="eastAsia" w:ascii="仿宋" w:hAnsi="仿宋" w:eastAsia="仿宋" w:cs="仿宋"/>
          <w:b/>
          <w:bCs/>
          <w:color w:val="auto"/>
          <w:sz w:val="28"/>
          <w:szCs w:val="28"/>
          <w:lang w:val="en-US" w:eastAsia="zh-CN"/>
        </w:rPr>
        <w:t>四、</w:t>
      </w:r>
      <w:r>
        <w:rPr>
          <w:rFonts w:hint="eastAsia" w:ascii="仿宋" w:hAnsi="仿宋" w:eastAsia="仿宋" w:cs="仿宋"/>
          <w:b/>
          <w:color w:val="333333"/>
          <w:sz w:val="28"/>
          <w:szCs w:val="28"/>
          <w:shd w:val="clear" w:color="auto" w:fill="FFFFFF"/>
        </w:rPr>
        <w:t>授课师资</w:t>
      </w:r>
    </w:p>
    <w:p w14:paraId="630D930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color w:val="000000"/>
          <w:spacing w:val="10"/>
          <w:kern w:val="2"/>
          <w:sz w:val="28"/>
          <w:szCs w:val="28"/>
          <w:shd w:val="clear" w:color="auto" w:fill="auto"/>
          <w:lang w:val="en-US" w:eastAsia="zh-CN"/>
        </w:rPr>
        <w:t>拟邀请国家发改委、中国招标投标协会、央国企等有关部门的专家学者现场授课，结合经典案例分析，并进行互动交流和现场答疑。</w:t>
      </w:r>
    </w:p>
    <w:p w14:paraId="51CB0D01">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五、</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时间地点</w:t>
      </w:r>
    </w:p>
    <w:p w14:paraId="2CA7441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2025年10月23日—10月26日   成都市 （23日全天报到）</w:t>
      </w:r>
    </w:p>
    <w:p w14:paraId="05FEFC6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2025年11月20日—11月23日   厦门市 （20日全天报到）</w:t>
      </w:r>
    </w:p>
    <w:p w14:paraId="0FEF8F9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2025年12月25日—12月28日   南宁市 （25日全天报到）</w:t>
      </w:r>
    </w:p>
    <w:p w14:paraId="359B563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2026年01月22日—01月25日   海口市 （22日全天报到）</w:t>
      </w:r>
    </w:p>
    <w:p w14:paraId="280959CB">
      <w:pPr>
        <w:keepNext w:val="0"/>
        <w:keepLines w:val="0"/>
        <w:pageBreakBefore w:val="0"/>
        <w:kinsoku/>
        <w:wordWrap/>
        <w:overflowPunct/>
        <w:topLinePunct w:val="0"/>
        <w:autoSpaceDE/>
        <w:autoSpaceDN/>
        <w:bidi w:val="0"/>
        <w:adjustRightInd/>
        <w:snapToGrid/>
        <w:spacing w:line="500" w:lineRule="exact"/>
        <w:ind w:left="559" w:leftChars="266" w:firstLine="0" w:firstLineChars="0"/>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六</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w:t>
      </w:r>
      <w:r>
        <w:rPr>
          <w:rFonts w:hint="eastAsia" w:ascii="仿宋" w:hAnsi="仿宋" w:eastAsia="仿宋" w:cs="仿宋"/>
          <w:b/>
          <w:bCs/>
          <w:snapToGrid w:val="0"/>
          <w:color w:val="000000"/>
          <w:kern w:val="20"/>
          <w:position w:val="-4"/>
          <w:sz w:val="28"/>
          <w:szCs w:val="28"/>
          <w:lang w:val="en-US" w:eastAsia="zh-CN"/>
        </w:rPr>
        <w:t>收费标准</w:t>
      </w:r>
    </w:p>
    <w:p w14:paraId="35115E9D">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w:t>
      </w:r>
      <w:r>
        <w:rPr>
          <w:rFonts w:hint="eastAsia" w:ascii="仿宋" w:hAnsi="仿宋" w:eastAsia="仿宋" w:cs="仿宋"/>
          <w:color w:val="000000"/>
          <w:spacing w:val="10"/>
          <w:sz w:val="28"/>
          <w:szCs w:val="28"/>
          <w:lang w:val="en-US" w:eastAsia="zh-CN"/>
        </w:rPr>
        <w:t>398</w:t>
      </w:r>
      <w:r>
        <w:rPr>
          <w:rFonts w:hint="eastAsia" w:ascii="仿宋" w:hAnsi="仿宋" w:eastAsia="仿宋" w:cs="仿宋"/>
          <w:color w:val="000000"/>
          <w:spacing w:val="10"/>
          <w:sz w:val="28"/>
          <w:szCs w:val="28"/>
        </w:rPr>
        <w:t>0元/人（含培训、资料、电子课件、场地及培训期间午餐</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结业证书</w:t>
      </w:r>
      <w:r>
        <w:rPr>
          <w:rFonts w:hint="eastAsia" w:ascii="仿宋" w:hAnsi="仿宋" w:eastAsia="仿宋" w:cs="仿宋"/>
          <w:color w:val="000000"/>
          <w:spacing w:val="10"/>
          <w:sz w:val="28"/>
          <w:szCs w:val="28"/>
        </w:rPr>
        <w:t>），住宿统一安排，费用自理。</w:t>
      </w:r>
    </w:p>
    <w:p w14:paraId="258ED187">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98</w:t>
      </w:r>
      <w:r>
        <w:rPr>
          <w:rFonts w:hint="eastAsia" w:ascii="仿宋" w:hAnsi="仿宋" w:eastAsia="仿宋" w:cs="仿宋"/>
          <w:color w:val="000000"/>
          <w:spacing w:val="10"/>
          <w:sz w:val="28"/>
          <w:szCs w:val="28"/>
        </w:rPr>
        <w:t>0元/人（含培训、资料、电子课件、场地、证书及培训期间午餐），住宿统一安排，费用自理。</w:t>
      </w:r>
      <w:r>
        <w:rPr>
          <w:rFonts w:hint="eastAsia" w:ascii="仿宋" w:hAnsi="仿宋" w:eastAsia="仿宋" w:cs="仿宋"/>
          <w:color w:val="000000"/>
          <w:spacing w:val="10"/>
          <w:sz w:val="28"/>
          <w:szCs w:val="28"/>
          <w:lang w:val="en-US" w:eastAsia="zh-CN"/>
        </w:rPr>
        <w:t>证书由我会颁发《工程总承包项目经理》或《合同经理》或《招标经理》;所需资料:二寸蓝底免冠彩色照片、身份证正反面、学历证书复印件等电子版材料。</w:t>
      </w:r>
    </w:p>
    <w:p w14:paraId="75DA6D0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C.28000元/单位，同步直播，单位投屏播放，统一观看，不限人数，提供电子课件，支持在线提问</w:t>
      </w:r>
      <w:r>
        <w:rPr>
          <w:rFonts w:hint="eastAsia" w:ascii="仿宋" w:hAnsi="仿宋" w:eastAsia="仿宋" w:cs="宋体"/>
          <w:color w:val="auto"/>
          <w:kern w:val="0"/>
          <w:sz w:val="28"/>
          <w:szCs w:val="28"/>
          <w:lang w:eastAsia="zh-CN"/>
        </w:rPr>
        <w:t>。</w:t>
      </w:r>
    </w:p>
    <w:p w14:paraId="3C3C7530">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宋体"/>
          <w:color w:val="auto"/>
          <w:kern w:val="0"/>
          <w:sz w:val="28"/>
          <w:szCs w:val="28"/>
        </w:rPr>
        <w:t>D.40000元/天，根据实际需求，个性化定制课程内容，委派专家赴政府、国有企业进行内部培训（含课酬、专家与助教交通费、资料费等，培训场地由受训单位提供）</w:t>
      </w:r>
      <w:r>
        <w:rPr>
          <w:rFonts w:hint="eastAsia" w:ascii="仿宋" w:hAnsi="仿宋" w:eastAsia="仿宋" w:cs="仿宋"/>
          <w:color w:val="000000"/>
          <w:spacing w:val="10"/>
          <w:sz w:val="28"/>
          <w:szCs w:val="28"/>
          <w:lang w:val="en-US" w:eastAsia="zh-CN"/>
        </w:rPr>
        <w:t>。</w:t>
      </w:r>
    </w:p>
    <w:p w14:paraId="6E6C87C5">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E.50000元/单位，单期会议不限参会人数。</w:t>
      </w:r>
    </w:p>
    <w:p w14:paraId="565D5038">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napToGrid w:val="0"/>
          <w:color w:val="000000"/>
          <w:kern w:val="20"/>
          <w:position w:val="-4"/>
          <w:sz w:val="28"/>
          <w:szCs w:val="28"/>
        </w:rPr>
      </w:pPr>
      <w:r>
        <w:rPr>
          <w:rFonts w:hint="eastAsia" w:ascii="仿宋" w:hAnsi="仿宋" w:eastAsia="仿宋" w:cs="仿宋"/>
          <w:b/>
          <w:bCs/>
          <w:snapToGrid w:val="0"/>
          <w:color w:val="000000"/>
          <w:kern w:val="20"/>
          <w:position w:val="-4"/>
          <w:sz w:val="28"/>
          <w:szCs w:val="28"/>
          <w:lang w:val="en-US" w:eastAsia="zh-CN"/>
        </w:rPr>
        <w:t>七</w:t>
      </w:r>
      <w:r>
        <w:rPr>
          <w:rFonts w:hint="eastAsia" w:ascii="仿宋" w:hAnsi="仿宋" w:eastAsia="仿宋" w:cs="仿宋"/>
          <w:b/>
          <w:bCs/>
          <w:snapToGrid w:val="0"/>
          <w:color w:val="000000"/>
          <w:kern w:val="20"/>
          <w:position w:val="-4"/>
          <w:sz w:val="28"/>
          <w:szCs w:val="28"/>
        </w:rPr>
        <w:t>、</w:t>
      </w:r>
      <w:r>
        <w:rPr>
          <w:rFonts w:hint="eastAsia" w:ascii="仿宋" w:hAnsi="仿宋" w:eastAsia="仿宋" w:cs="仿宋"/>
          <w:b/>
          <w:bCs/>
          <w:color w:val="000000"/>
          <w:sz w:val="28"/>
          <w:szCs w:val="28"/>
        </w:rPr>
        <w:t>联系方式</w:t>
      </w:r>
    </w:p>
    <w:p w14:paraId="1721CB6A">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14:paraId="569FCD23">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14:paraId="217C74B8">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pacing w:val="10"/>
          <w:sz w:val="28"/>
          <w:szCs w:val="28"/>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p>
    <w:p w14:paraId="5F9C6522">
      <w:pPr>
        <w:pStyle w:val="10"/>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lang w:val="en-US" w:eastAsia="zh-CN"/>
        </w:rPr>
      </w:pPr>
      <w:r>
        <w:rPr>
          <w:rFonts w:hint="eastAsia"/>
          <w:lang w:val="en-US" w:eastAsia="zh-CN"/>
        </w:rPr>
        <w:t xml:space="preserve">     </w:t>
      </w:r>
    </w:p>
    <w:p w14:paraId="4D64C89A">
      <w:pPr>
        <w:pStyle w:val="10"/>
        <w:keepNext w:val="0"/>
        <w:keepLines w:val="0"/>
        <w:pageBreakBefore w:val="0"/>
        <w:kinsoku/>
        <w:wordWrap/>
        <w:overflowPunct/>
        <w:topLinePunct w:val="0"/>
        <w:autoSpaceDE/>
        <w:autoSpaceDN/>
        <w:bidi w:val="0"/>
        <w:adjustRightInd/>
        <w:snapToGrid/>
        <w:spacing w:line="540" w:lineRule="exact"/>
        <w:ind w:left="0" w:leftChars="0" w:firstLine="600" w:firstLineChars="200"/>
        <w:textAlignment w:val="auto"/>
        <w:rPr>
          <w:rFonts w:hint="default" w:eastAsia="宋体"/>
          <w:lang w:val="en-US" w:eastAsia="zh-CN"/>
        </w:rPr>
      </w:pPr>
      <w:r>
        <w:rPr>
          <w:rFonts w:hint="eastAsia" w:ascii="仿宋" w:hAnsi="仿宋" w:eastAsia="仿宋" w:cs="仿宋"/>
          <w:color w:val="auto"/>
          <w:spacing w:val="10"/>
          <w:kern w:val="2"/>
          <w:sz w:val="28"/>
          <w:szCs w:val="28"/>
          <w:shd w:val="clear" w:color="auto" w:fill="auto"/>
          <w:lang w:val="en-US" w:eastAsia="zh-CN" w:bidi="ar-SA"/>
        </w:rPr>
        <w:t>附件：报名回执表</w:t>
      </w:r>
    </w:p>
    <w:p w14:paraId="6E91503D">
      <w:pPr>
        <w:pStyle w:val="10"/>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sz w:val="28"/>
          <w:szCs w:val="28"/>
        </w:rPr>
      </w:pPr>
      <w:r>
        <w:rPr>
          <w:rFonts w:hAnsi="仿宋" w:cs="宋体"/>
          <w:kern w:val="0"/>
          <w:sz w:val="28"/>
          <w:szCs w:val="28"/>
        </w:rPr>
        <w:drawing>
          <wp:anchor distT="0" distB="0" distL="114300" distR="114300" simplePos="0" relativeHeight="251663360" behindDoc="1" locked="0" layoutInCell="1" allowOverlap="1">
            <wp:simplePos x="0" y="0"/>
            <wp:positionH relativeFrom="column">
              <wp:posOffset>3609975</wp:posOffset>
            </wp:positionH>
            <wp:positionV relativeFrom="paragraph">
              <wp:posOffset>89535</wp:posOffset>
            </wp:positionV>
            <wp:extent cx="1520190" cy="1511935"/>
            <wp:effectExtent l="0" t="0" r="3810" b="12065"/>
            <wp:wrapNone/>
            <wp:docPr id="3" name="图片 3" descr="732e08b64e884cc41dfc2ce3f8ee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32e08b64e884cc41dfc2ce3f8ee3125"/>
                    <pic:cNvPicPr>
                      <a:picLocks noChangeAspect="1"/>
                    </pic:cNvPicPr>
                  </pic:nvPicPr>
                  <pic:blipFill>
                    <a:blip r:embed="rId6"/>
                    <a:stretch>
                      <a:fillRect/>
                    </a:stretch>
                  </pic:blipFill>
                  <pic:spPr>
                    <a:xfrm>
                      <a:off x="0" y="0"/>
                      <a:ext cx="1520190" cy="1511935"/>
                    </a:xfrm>
                    <a:prstGeom prst="rect">
                      <a:avLst/>
                    </a:prstGeom>
                  </pic:spPr>
                </pic:pic>
              </a:graphicData>
            </a:graphic>
          </wp:anchor>
        </w:drawing>
      </w:r>
    </w:p>
    <w:p w14:paraId="3EC1ED3E">
      <w:pPr>
        <w:pStyle w:val="10"/>
        <w:keepNext w:val="0"/>
        <w:keepLines w:val="0"/>
        <w:pageBreakBefore w:val="0"/>
        <w:kinsoku/>
        <w:wordWrap/>
        <w:overflowPunct/>
        <w:topLinePunct w:val="0"/>
        <w:autoSpaceDE/>
        <w:autoSpaceDN/>
        <w:bidi w:val="0"/>
        <w:adjustRightInd/>
        <w:snapToGrid/>
        <w:spacing w:line="540" w:lineRule="exact"/>
        <w:ind w:left="0" w:leftChars="0" w:firstLine="5600" w:firstLineChars="2000"/>
        <w:textAlignment w:val="auto"/>
        <w:rPr>
          <w:rFonts w:hint="eastAsia" w:ascii="仿宋" w:hAnsi="仿宋" w:eastAsia="仿宋" w:cs="仿宋"/>
          <w:sz w:val="28"/>
          <w:szCs w:val="28"/>
          <w:lang w:eastAsia="zh-CN"/>
        </w:rPr>
      </w:pPr>
      <w:r>
        <w:rPr>
          <w:rFonts w:hint="eastAsia" w:ascii="仿宋" w:hAnsi="仿宋" w:eastAsia="仿宋" w:cs="仿宋"/>
          <w:sz w:val="28"/>
          <w:szCs w:val="28"/>
        </w:rPr>
        <w:t>中国</w:t>
      </w:r>
      <w:r>
        <w:rPr>
          <w:rFonts w:hint="eastAsia" w:ascii="仿宋" w:hAnsi="仿宋" w:eastAsia="仿宋" w:cs="宋体"/>
          <w:kern w:val="0"/>
          <w:sz w:val="28"/>
          <w:szCs w:val="28"/>
          <w:shd w:val="clear" w:color="auto" w:fill="auto"/>
          <w:lang w:val="en-US" w:eastAsia="zh-CN" w:bidi="ar-SA"/>
        </w:rPr>
        <w:drawing>
          <wp:anchor distT="0" distB="0" distL="114300" distR="114300" simplePos="0" relativeHeight="251662336" behindDoc="0" locked="0" layoutInCell="1" allowOverlap="1">
            <wp:simplePos x="0" y="0"/>
            <wp:positionH relativeFrom="column">
              <wp:posOffset>4306570</wp:posOffset>
            </wp:positionH>
            <wp:positionV relativeFrom="paragraph">
              <wp:posOffset>7082790</wp:posOffset>
            </wp:positionV>
            <wp:extent cx="1522095" cy="1511935"/>
            <wp:effectExtent l="0" t="0" r="1905" b="12065"/>
            <wp:wrapNone/>
            <wp:docPr id="1"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国国际工程咨询协会（无背景）"/>
                    <pic:cNvPicPr>
                      <a:picLocks noChangeAspect="1"/>
                    </pic:cNvPicPr>
                  </pic:nvPicPr>
                  <pic:blipFill>
                    <a:blip r:embed="rId7">
                      <a:lum bright="21997"/>
                    </a:blip>
                    <a:stretch>
                      <a:fillRect/>
                    </a:stretch>
                  </pic:blipFill>
                  <pic:spPr>
                    <a:xfrm>
                      <a:off x="0" y="0"/>
                      <a:ext cx="1522095" cy="1511935"/>
                    </a:xfrm>
                    <a:prstGeom prst="rect">
                      <a:avLst/>
                    </a:prstGeom>
                    <a:noFill/>
                    <a:ln>
                      <a:noFill/>
                    </a:ln>
                  </pic:spPr>
                </pic:pic>
              </a:graphicData>
            </a:graphic>
          </wp:anchor>
        </w:drawing>
      </w:r>
      <w:r>
        <w:rPr>
          <w:rFonts w:hint="eastAsia" w:ascii="仿宋" w:hAnsi="仿宋" w:eastAsia="仿宋" w:cs="仿宋"/>
          <w:sz w:val="28"/>
          <w:szCs w:val="28"/>
        </w:rPr>
        <w:t>国际工程咨询</w:t>
      </w:r>
      <w:r>
        <w:rPr>
          <w:rFonts w:hint="eastAsia" w:ascii="仿宋" w:hAnsi="仿宋" w:eastAsia="仿宋" w:cs="仿宋"/>
          <w:sz w:val="28"/>
          <w:szCs w:val="28"/>
          <w:lang w:val="en-US" w:eastAsia="zh-CN"/>
        </w:rPr>
        <w:t>协会</w:t>
      </w:r>
    </w:p>
    <w:p w14:paraId="35B38967">
      <w:pPr>
        <w:pStyle w:val="10"/>
        <w:keepNext w:val="0"/>
        <w:keepLines w:val="0"/>
        <w:pageBreakBefore w:val="0"/>
        <w:kinsoku/>
        <w:wordWrap/>
        <w:overflowPunct/>
        <w:topLinePunct w:val="0"/>
        <w:autoSpaceDE/>
        <w:autoSpaceDN/>
        <w:bidi w:val="0"/>
        <w:adjustRightInd/>
        <w:snapToGrid/>
        <w:spacing w:line="540" w:lineRule="exact"/>
        <w:ind w:left="0" w:leftChars="0" w:firstLine="5880" w:firstLineChars="2100"/>
        <w:textAlignment w:val="auto"/>
        <w:rPr>
          <w:rFonts w:hint="eastAsia" w:ascii="仿宋" w:hAnsi="仿宋" w:eastAsia="仿宋" w:cs="仿宋"/>
          <w:sz w:val="28"/>
          <w:szCs w:val="28"/>
          <w:lang w:val="en-US" w:eastAsia="zh-CN"/>
        </w:rPr>
      </w:pPr>
      <w:r>
        <w:rPr>
          <w:rFonts w:hint="eastAsia" w:ascii="仿宋" w:hAnsi="仿宋" w:eastAsia="仿宋" w:cs="宋体"/>
          <w:kern w:val="0"/>
          <w:sz w:val="28"/>
          <w:szCs w:val="28"/>
          <w:lang w:val="en-US" w:eastAsia="zh-CN" w:bidi="ar-SA"/>
        </w:rPr>
        <w:t>2025年9月1日</w:t>
      </w:r>
    </w:p>
    <w:p w14:paraId="5104DC9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63038BDE">
      <w:pPr>
        <w:rPr>
          <w:rFonts w:hint="eastAsia" w:ascii="仿宋" w:hAnsi="仿宋" w:eastAsia="仿宋" w:cs="仿宋"/>
          <w:sz w:val="28"/>
          <w:szCs w:val="28"/>
          <w:lang w:val="en-US" w:eastAsia="zh-CN"/>
        </w:rPr>
      </w:pPr>
    </w:p>
    <w:p w14:paraId="79B6E3EC">
      <w:pPr>
        <w:pStyle w:val="2"/>
        <w:keepNext w:val="0"/>
        <w:keepLines w:val="0"/>
        <w:pageBreakBefore w:val="0"/>
        <w:widowControl/>
        <w:kinsoku/>
        <w:wordWrap/>
        <w:overflowPunct/>
        <w:topLinePunct w:val="0"/>
        <w:autoSpaceDE/>
        <w:autoSpaceDN/>
        <w:bidi w:val="0"/>
        <w:adjustRightInd/>
        <w:snapToGrid/>
        <w:spacing w:before="312" w:beforeLines="100" w:beforeAutospacing="0" w:after="313" w:afterLines="100" w:afterAutospacing="0" w:line="500" w:lineRule="exact"/>
        <w:jc w:val="left"/>
        <w:textAlignment w:val="auto"/>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p>
    <w:p w14:paraId="528C30D9">
      <w:pP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p>
    <w:p w14:paraId="397ED950">
      <w:pP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p>
    <w:p w14:paraId="53414CF5">
      <w:pP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p>
    <w:p w14:paraId="29D801EF">
      <w:pP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p>
    <w:p w14:paraId="07ED29ED">
      <w:pP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p>
    <w:p w14:paraId="0E271DA9">
      <w:pP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p>
    <w:p w14:paraId="025F3AF9">
      <w:pP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p>
    <w:p w14:paraId="62419BE0">
      <w:pPr>
        <w:pStyle w:val="2"/>
        <w:keepNext w:val="0"/>
        <w:keepLines w:val="0"/>
        <w:pageBreakBefore w:val="0"/>
        <w:widowControl/>
        <w:kinsoku/>
        <w:wordWrap/>
        <w:overflowPunct/>
        <w:topLinePunct w:val="0"/>
        <w:autoSpaceDE/>
        <w:autoSpaceDN/>
        <w:bidi w:val="0"/>
        <w:adjustRightInd/>
        <w:snapToGrid/>
        <w:spacing w:before="312" w:beforeLines="100" w:beforeAutospacing="0" w:after="313" w:afterLines="100" w:afterAutospacing="0" w:line="500" w:lineRule="exact"/>
        <w:jc w:val="left"/>
        <w:textAlignment w:val="auto"/>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t>附件：</w:t>
      </w:r>
    </w:p>
    <w:p w14:paraId="760D3E56">
      <w:pPr>
        <w:pStyle w:val="2"/>
        <w:keepNext w:val="0"/>
        <w:keepLines w:val="0"/>
        <w:pageBreakBefore w:val="0"/>
        <w:widowControl/>
        <w:kinsoku/>
        <w:wordWrap/>
        <w:overflowPunct/>
        <w:topLinePunct w:val="0"/>
        <w:autoSpaceDE/>
        <w:autoSpaceDN/>
        <w:bidi w:val="0"/>
        <w:adjustRightInd/>
        <w:snapToGrid/>
        <w:spacing w:before="312" w:beforeLines="100" w:beforeAutospacing="0" w:after="313" w:afterLines="100" w:afterAutospacing="0" w:line="500" w:lineRule="exact"/>
        <w:jc w:val="center"/>
        <w:textAlignment w:val="auto"/>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w:t>新时代政府采购新政解读与央国企招标采购全流程管控、供应链管理及招投标风险防范专题培训班</w:t>
      </w:r>
      <w: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t>报名回执表</w:t>
      </w:r>
    </w:p>
    <w:tbl>
      <w:tblPr>
        <w:tblStyle w:val="11"/>
        <w:tblpPr w:leftFromText="180" w:rightFromText="180" w:vertAnchor="text" w:horzAnchor="page" w:tblpX="1229" w:tblpY="94"/>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2815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5ED0DC1">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14:paraId="0E26F3F5">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3FE433E6">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14:paraId="2FF45807">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0133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298A930">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14:paraId="5470B0F8">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077E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C6387A8">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14:paraId="5CD2CF4F">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23762C4B">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14:paraId="6E638BE0">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5996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78EFE3E">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14:paraId="46472B60">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030F37F3">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14:paraId="3AABBFD2">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6C18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61262CB">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14:paraId="5E956A5E">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0DFF9173">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14:paraId="718A3D02">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46F9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3D7146E">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14:paraId="70A8FD41">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14:paraId="7A85ECAF">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14:paraId="4F6235E6">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14:paraId="697984C2">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14:paraId="4143D580">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14:paraId="7B28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4CC283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6C5D5C3B">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2B2DC34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4D914889">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1409B965">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3A7FB89B">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7A62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06DFBF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4CA736D9">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3A1D0B4C">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6F859463">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600F5733">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00428FB1">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1CA1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A74AC01">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31E301E1">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6A8BD4C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61A3E1B8">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7A361B5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16D79903">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2A46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822AD0B">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404FE95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693E635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0D42DCD5">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303F5024">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7D579A4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4BBE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7DB234D">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5A358DB4">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376788A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2A7A55F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6850506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56BF935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1463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2A0AD38">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7AED7FCD">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70BB0CB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41CA553E">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7E3FF4BF">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0F0A5869">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33C3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6DC2E5A">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579E409F">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2BEA503E">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67888E8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12100795">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631627A3">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5344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88D81AF">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bookmarkStart w:id="0" w:name="_GoBack"/>
            <w:bookmarkEnd w:id="0"/>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14:paraId="76FAA6A4">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2716F629">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14:paraId="44137CE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41F8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CEDDBF2">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14:paraId="5BD85339">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自理□</w:t>
            </w:r>
          </w:p>
        </w:tc>
      </w:tr>
      <w:tr w14:paraId="59D3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727FBD7">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14:paraId="6A3C57E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《工程总包项目经理》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《合同经理》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招标</w:t>
            </w:r>
            <w:r>
              <w:rPr>
                <w:rFonts w:hint="eastAsia" w:ascii="仿宋" w:hAnsi="仿宋" w:eastAsia="仿宋" w:cs="仿宋"/>
                <w:bCs/>
                <w:color w:val="000000" w:themeColor="text1"/>
                <w:sz w:val="28"/>
                <w:szCs w:val="28"/>
                <w14:textFill>
                  <w14:solidFill>
                    <w14:schemeClr w14:val="tx1"/>
                  </w14:solidFill>
                </w14:textFill>
              </w:rPr>
              <w:t>经理》</w:t>
            </w:r>
            <w:r>
              <w:rPr>
                <w:rFonts w:hint="eastAsia" w:ascii="仿宋" w:hAnsi="仿宋" w:eastAsia="仿宋" w:cs="仿宋"/>
                <w:bCs/>
                <w:color w:val="000000" w:themeColor="text1"/>
                <w:sz w:val="28"/>
                <w:szCs w:val="28"/>
                <w:lang w:eastAsia="zh-CN"/>
                <w14:textFill>
                  <w14:solidFill>
                    <w14:schemeClr w14:val="tx1"/>
                  </w14:solidFill>
                </w14:textFill>
              </w:rPr>
              <w:t>□</w:t>
            </w:r>
          </w:p>
        </w:tc>
      </w:tr>
      <w:tr w14:paraId="06B0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DE2DF1D">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14:paraId="2F2D9CE3">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14:paraId="11786852">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14:paraId="7EA0882D">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2CA3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14:paraId="46CB8773">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14:paraId="4C6D3A24">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14:paraId="6CD95D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rPr>
              <w:t>开户</w:t>
            </w:r>
            <w:r>
              <w:rPr>
                <w:rFonts w:hint="eastAsia" w:ascii="仿宋" w:hAnsi="仿宋" w:eastAsia="仿宋" w:cs="仿宋"/>
                <w:bCs/>
                <w:color w:val="000000"/>
                <w:sz w:val="28"/>
                <w:szCs w:val="28"/>
                <w:lang w:val="en-US" w:eastAsia="zh-CN"/>
              </w:rPr>
              <w:t xml:space="preserve">名称：北京比时教育咨询有限公司 </w:t>
            </w:r>
          </w:p>
          <w:p w14:paraId="01B15B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开 户 行：中国工商银行股份有限公司北京公主坟支行</w:t>
            </w:r>
          </w:p>
          <w:p w14:paraId="135CFA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lang w:val="en-US" w:eastAsia="zh-CN"/>
              </w:rPr>
              <w:t>账    号：0200 0046 0920 0665 735</w:t>
            </w:r>
          </w:p>
        </w:tc>
      </w:tr>
      <w:tr w14:paraId="0A03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678" w:type="dxa"/>
            <w:vAlign w:val="center"/>
          </w:tcPr>
          <w:p w14:paraId="15469E37">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14:paraId="1AF18252">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hint="eastAsia"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hint="eastAsia"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hint="eastAsia" w:ascii="仿宋" w:hAnsi="仿宋" w:eastAsia="仿宋" w:cs="仿宋"/>
                <w:bCs/>
                <w:color w:val="000000" w:themeColor="text1"/>
                <w:sz w:val="28"/>
                <w:szCs w:val="28"/>
                <w14:textFill>
                  <w14:solidFill>
                    <w14:schemeClr w14:val="tx1"/>
                  </w14:solidFill>
                </w14:textFill>
              </w:rPr>
              <w:t>需</w:t>
            </w:r>
          </w:p>
          <w:p w14:paraId="3B16FC07">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14:paraId="0A6F39D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hint="eastAsia"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14:paraId="47D466FC">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hint="eastAsia"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14:paraId="57EEE171">
            <w:pPr>
              <w:pStyle w:val="10"/>
              <w:tabs>
                <w:tab w:val="left" w:pos="-1440"/>
              </w:tabs>
              <w:rPr>
                <w:rFonts w:hint="eastAsia" w:ascii="仿宋" w:hAnsi="仿宋" w:eastAsia="仿宋" w:cs="仿宋"/>
              </w:rPr>
            </w:pPr>
          </w:p>
          <w:p w14:paraId="2F13E675">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5</w:t>
            </w:r>
            <w:r>
              <w:rPr>
                <w:rFonts w:hint="eastAsia" w:ascii="仿宋" w:hAnsi="仿宋" w:eastAsia="仿宋" w:cs="仿宋"/>
                <w:bCs/>
                <w:color w:val="000000" w:themeColor="text1"/>
                <w:sz w:val="28"/>
                <w:szCs w:val="28"/>
                <w14:textFill>
                  <w14:solidFill>
                    <w14:schemeClr w14:val="tx1"/>
                  </w14:solidFill>
                </w14:textFill>
              </w:rPr>
              <w:t>年  月  日</w:t>
            </w:r>
          </w:p>
        </w:tc>
      </w:tr>
    </w:tbl>
    <w:p w14:paraId="7BEBF416">
      <w:pPr>
        <w:spacing w:line="500" w:lineRule="exact"/>
        <w:ind w:firstLine="280" w:firstLineChars="100"/>
        <w:rPr>
          <w:rFonts w:hint="eastAsia" w:ascii="仿宋" w:hAnsi="仿宋" w:eastAsia="仿宋" w:cs="宋体"/>
          <w:sz w:val="28"/>
          <w:szCs w:val="28"/>
        </w:rPr>
      </w:pPr>
      <w:r>
        <w:rPr>
          <w:rFonts w:hint="eastAsia" w:ascii="仿宋" w:hAnsi="仿宋" w:eastAsia="仿宋" w:cs="宋体"/>
          <w:sz w:val="28"/>
          <w:szCs w:val="28"/>
        </w:rPr>
        <w:t>备注：1</w:t>
      </w:r>
      <w:r>
        <w:rPr>
          <w:rFonts w:hint="eastAsia" w:ascii="仿宋" w:hAnsi="仿宋" w:eastAsia="仿宋" w:cs="宋体"/>
          <w:color w:val="000000"/>
          <w:kern w:val="0"/>
          <w:sz w:val="28"/>
          <w:szCs w:val="28"/>
        </w:rPr>
        <w:t>、</w:t>
      </w:r>
      <w:r>
        <w:rPr>
          <w:rFonts w:hint="eastAsia" w:ascii="仿宋" w:hAnsi="仿宋" w:eastAsia="仿宋" w:cs="宋体"/>
          <w:sz w:val="28"/>
          <w:szCs w:val="28"/>
        </w:rPr>
        <w:t>此表可复制</w:t>
      </w:r>
      <w:r>
        <w:rPr>
          <w:rFonts w:hint="eastAsia" w:ascii="仿宋" w:hAnsi="仿宋" w:eastAsia="仿宋" w:cs="宋体"/>
          <w:color w:val="000000"/>
          <w:sz w:val="28"/>
          <w:szCs w:val="28"/>
        </w:rPr>
        <w:t>，</w:t>
      </w:r>
      <w:r>
        <w:rPr>
          <w:rFonts w:hint="eastAsia" w:ascii="仿宋" w:hAnsi="仿宋" w:eastAsia="仿宋" w:cs="宋体"/>
          <w:sz w:val="28"/>
          <w:szCs w:val="28"/>
        </w:rPr>
        <w:t>汇总名单后发送至会务组；</w:t>
      </w:r>
    </w:p>
    <w:p w14:paraId="6AD350A9">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2、报名负责人：聂红军 主任18211071700（微信）   </w:t>
      </w:r>
    </w:p>
    <w:p w14:paraId="79B5375D">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电    话：13141289128        邮    箱：zqgphwz@126.com  </w:t>
      </w:r>
    </w:p>
    <w:p w14:paraId="350934D5">
      <w:pPr>
        <w:spacing w:line="500" w:lineRule="exact"/>
        <w:ind w:firstLine="1120" w:firstLineChars="400"/>
        <w:rPr>
          <w:rFonts w:hint="eastAsia" w:ascii="仿宋" w:hAnsi="仿宋" w:eastAsia="仿宋" w:cs="宋体"/>
          <w:sz w:val="28"/>
          <w:szCs w:val="28"/>
          <w:lang w:val="en-US" w:eastAsia="zh-CN"/>
        </w:rPr>
      </w:pPr>
      <w:r>
        <w:rPr>
          <w:rFonts w:hint="eastAsia" w:ascii="仿宋" w:hAnsi="仿宋" w:eastAsia="仿宋" w:cs="宋体"/>
          <w:sz w:val="28"/>
          <w:szCs w:val="28"/>
        </w:rPr>
        <w:t>qq咨询：3177524020       网    址：http://www.zqgpchina.cn</w:t>
      </w:r>
    </w:p>
    <w:sectPr>
      <w:footerReference r:id="rId3" w:type="default"/>
      <w:footerReference r:id="rId4" w:type="even"/>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02D66">
    <w:pPr>
      <w:pStyle w:val="6"/>
      <w:ind w:right="56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1227A">
                          <w:pPr>
                            <w:pStyle w:val="6"/>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11227A">
                    <w:pPr>
                      <w:pStyle w:val="6"/>
                    </w:pPr>
                    <w:r>
                      <w:fldChar w:fldCharType="begin"/>
                    </w:r>
                    <w:r>
                      <w:instrText xml:space="preserve"> PAGE  \* MERGEFORMAT </w:instrText>
                    </w:r>
                    <w:r>
                      <w:fldChar w:fldCharType="separate"/>
                    </w:r>
                    <w:r>
                      <w:t>１</w:t>
                    </w:r>
                    <w:r>
                      <w:fldChar w:fldCharType="end"/>
                    </w:r>
                  </w:p>
                </w:txbxContent>
              </v:textbox>
            </v:shape>
          </w:pict>
        </mc:Fallback>
      </mc:AlternateContent>
    </w:r>
  </w:p>
  <w:p w14:paraId="08FF1A0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20D35">
    <w:pPr>
      <w:pStyle w:val="6"/>
      <w:ind w:right="561" w:firstLine="280" w:firstLineChars="100"/>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A6B29">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EBA6B29">
                    <w:pPr>
                      <w:pStyle w:val="6"/>
                    </w:pPr>
                    <w:r>
                      <w:fldChar w:fldCharType="begin"/>
                    </w:r>
                    <w:r>
                      <w:instrText xml:space="preserve"> PAGE  \* MERGEFORMAT </w:instrText>
                    </w:r>
                    <w:r>
                      <w:fldChar w:fldCharType="separate"/>
                    </w:r>
                    <w:r>
                      <w:t>2</w:t>
                    </w:r>
                    <w:r>
                      <w:fldChar w:fldCharType="end"/>
                    </w:r>
                  </w:p>
                </w:txbxContent>
              </v:textbox>
            </v:shape>
          </w:pict>
        </mc:Fallback>
      </mc:AlternateContent>
    </w:r>
  </w:p>
  <w:p w14:paraId="198CA46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mYwMDdkMDkwYjZkN2YwZjRmZmE3ZmFhM2M3OTM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04B82"/>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1E34DF9"/>
    <w:rsid w:val="026054A7"/>
    <w:rsid w:val="02881B40"/>
    <w:rsid w:val="029D7E0E"/>
    <w:rsid w:val="02C408FD"/>
    <w:rsid w:val="02D768EE"/>
    <w:rsid w:val="032F4101"/>
    <w:rsid w:val="0386068D"/>
    <w:rsid w:val="038A10A3"/>
    <w:rsid w:val="03907B07"/>
    <w:rsid w:val="039C6F92"/>
    <w:rsid w:val="03AB485F"/>
    <w:rsid w:val="04487934"/>
    <w:rsid w:val="04540AED"/>
    <w:rsid w:val="048243D7"/>
    <w:rsid w:val="04986D9F"/>
    <w:rsid w:val="04AF2D6A"/>
    <w:rsid w:val="04F43CFE"/>
    <w:rsid w:val="0523326E"/>
    <w:rsid w:val="05A96AB9"/>
    <w:rsid w:val="05EC7C78"/>
    <w:rsid w:val="06250D8E"/>
    <w:rsid w:val="06391792"/>
    <w:rsid w:val="069112B1"/>
    <w:rsid w:val="06A51757"/>
    <w:rsid w:val="06BE08D3"/>
    <w:rsid w:val="06E93649"/>
    <w:rsid w:val="06EC14B2"/>
    <w:rsid w:val="072772CB"/>
    <w:rsid w:val="0745441F"/>
    <w:rsid w:val="07545E0D"/>
    <w:rsid w:val="077F502D"/>
    <w:rsid w:val="07BE65C9"/>
    <w:rsid w:val="080A04AA"/>
    <w:rsid w:val="08672E2F"/>
    <w:rsid w:val="089671CE"/>
    <w:rsid w:val="08C27750"/>
    <w:rsid w:val="08EF4E25"/>
    <w:rsid w:val="08FE697A"/>
    <w:rsid w:val="090E5A20"/>
    <w:rsid w:val="0937401C"/>
    <w:rsid w:val="096711B6"/>
    <w:rsid w:val="09916381"/>
    <w:rsid w:val="099B71EC"/>
    <w:rsid w:val="099C0E16"/>
    <w:rsid w:val="0A1C6B89"/>
    <w:rsid w:val="0A2827EF"/>
    <w:rsid w:val="0B4A62F6"/>
    <w:rsid w:val="0B613480"/>
    <w:rsid w:val="0B637863"/>
    <w:rsid w:val="0BAA06F0"/>
    <w:rsid w:val="0BF55298"/>
    <w:rsid w:val="0C3E5D0A"/>
    <w:rsid w:val="0C892991"/>
    <w:rsid w:val="0CEC7AC4"/>
    <w:rsid w:val="0CED1C23"/>
    <w:rsid w:val="0D041ADA"/>
    <w:rsid w:val="0D5B517E"/>
    <w:rsid w:val="0D821721"/>
    <w:rsid w:val="0D827406"/>
    <w:rsid w:val="0D861CD3"/>
    <w:rsid w:val="0DE207AE"/>
    <w:rsid w:val="0DF57EBA"/>
    <w:rsid w:val="0E2C2521"/>
    <w:rsid w:val="0E31529C"/>
    <w:rsid w:val="0E435214"/>
    <w:rsid w:val="0E567760"/>
    <w:rsid w:val="0E745121"/>
    <w:rsid w:val="0E821584"/>
    <w:rsid w:val="0EA92768"/>
    <w:rsid w:val="0EB130DD"/>
    <w:rsid w:val="0EC92D11"/>
    <w:rsid w:val="0EF2253E"/>
    <w:rsid w:val="0F371065"/>
    <w:rsid w:val="0F5D3AD7"/>
    <w:rsid w:val="0FB373C2"/>
    <w:rsid w:val="10003167"/>
    <w:rsid w:val="1041456A"/>
    <w:rsid w:val="10B47D54"/>
    <w:rsid w:val="10EA107C"/>
    <w:rsid w:val="10F152D1"/>
    <w:rsid w:val="10F4167B"/>
    <w:rsid w:val="11016338"/>
    <w:rsid w:val="111605D9"/>
    <w:rsid w:val="111B440F"/>
    <w:rsid w:val="112C5508"/>
    <w:rsid w:val="115A4FAB"/>
    <w:rsid w:val="11C5518A"/>
    <w:rsid w:val="11DE69DD"/>
    <w:rsid w:val="11FD174D"/>
    <w:rsid w:val="122D02D9"/>
    <w:rsid w:val="12753272"/>
    <w:rsid w:val="12AD718F"/>
    <w:rsid w:val="12B61FEA"/>
    <w:rsid w:val="130F2055"/>
    <w:rsid w:val="13197F0F"/>
    <w:rsid w:val="13283191"/>
    <w:rsid w:val="134A3C15"/>
    <w:rsid w:val="134B2305"/>
    <w:rsid w:val="137A3EF7"/>
    <w:rsid w:val="139F39C6"/>
    <w:rsid w:val="13E57B07"/>
    <w:rsid w:val="13FC4E27"/>
    <w:rsid w:val="148E5DF8"/>
    <w:rsid w:val="14D15D06"/>
    <w:rsid w:val="154E431F"/>
    <w:rsid w:val="15B056E5"/>
    <w:rsid w:val="15C768C5"/>
    <w:rsid w:val="161A45DE"/>
    <w:rsid w:val="16377922"/>
    <w:rsid w:val="16A2340F"/>
    <w:rsid w:val="16CE17BE"/>
    <w:rsid w:val="16EA2A6A"/>
    <w:rsid w:val="16F80569"/>
    <w:rsid w:val="17140C26"/>
    <w:rsid w:val="17F424AD"/>
    <w:rsid w:val="18A42CA0"/>
    <w:rsid w:val="18EE1564"/>
    <w:rsid w:val="18F47BBA"/>
    <w:rsid w:val="19435793"/>
    <w:rsid w:val="19771EDF"/>
    <w:rsid w:val="19CD675B"/>
    <w:rsid w:val="19E4542B"/>
    <w:rsid w:val="19E74118"/>
    <w:rsid w:val="1A097045"/>
    <w:rsid w:val="1A1C35C0"/>
    <w:rsid w:val="1A3A2DE0"/>
    <w:rsid w:val="1A422706"/>
    <w:rsid w:val="1AB25031"/>
    <w:rsid w:val="1AE939B8"/>
    <w:rsid w:val="1B15334C"/>
    <w:rsid w:val="1B5A41CD"/>
    <w:rsid w:val="1B624A38"/>
    <w:rsid w:val="1B7376B4"/>
    <w:rsid w:val="1BA37954"/>
    <w:rsid w:val="1C6576BA"/>
    <w:rsid w:val="1D070E95"/>
    <w:rsid w:val="1D1C6F26"/>
    <w:rsid w:val="1D2A548F"/>
    <w:rsid w:val="1D9930A3"/>
    <w:rsid w:val="1D9B0042"/>
    <w:rsid w:val="1DF0590F"/>
    <w:rsid w:val="1E0326BA"/>
    <w:rsid w:val="1E7000A9"/>
    <w:rsid w:val="1E7E1343"/>
    <w:rsid w:val="1EB2462D"/>
    <w:rsid w:val="1ED316C4"/>
    <w:rsid w:val="1F0A72E5"/>
    <w:rsid w:val="1F18457B"/>
    <w:rsid w:val="1F2F5BB3"/>
    <w:rsid w:val="1F535F5C"/>
    <w:rsid w:val="1FAB251C"/>
    <w:rsid w:val="1FC71F3D"/>
    <w:rsid w:val="20FC6AF6"/>
    <w:rsid w:val="20FE28AF"/>
    <w:rsid w:val="2186585E"/>
    <w:rsid w:val="21A53261"/>
    <w:rsid w:val="21B829B1"/>
    <w:rsid w:val="21CE131A"/>
    <w:rsid w:val="223C1057"/>
    <w:rsid w:val="226C63DB"/>
    <w:rsid w:val="22AA21B7"/>
    <w:rsid w:val="235403A6"/>
    <w:rsid w:val="23962806"/>
    <w:rsid w:val="23A26788"/>
    <w:rsid w:val="23A70DFA"/>
    <w:rsid w:val="23C57ECD"/>
    <w:rsid w:val="23D82DB4"/>
    <w:rsid w:val="23E81CBE"/>
    <w:rsid w:val="23F9579F"/>
    <w:rsid w:val="241A5173"/>
    <w:rsid w:val="24314B90"/>
    <w:rsid w:val="24DC3957"/>
    <w:rsid w:val="24EF05CB"/>
    <w:rsid w:val="24FB0D61"/>
    <w:rsid w:val="251233D5"/>
    <w:rsid w:val="256E19BE"/>
    <w:rsid w:val="25876083"/>
    <w:rsid w:val="258B39D2"/>
    <w:rsid w:val="25DA4976"/>
    <w:rsid w:val="26333BE6"/>
    <w:rsid w:val="265B1527"/>
    <w:rsid w:val="26626FE6"/>
    <w:rsid w:val="26A83CB0"/>
    <w:rsid w:val="26C04997"/>
    <w:rsid w:val="26FE502A"/>
    <w:rsid w:val="270C53C6"/>
    <w:rsid w:val="277A037D"/>
    <w:rsid w:val="27867409"/>
    <w:rsid w:val="27FD3EE7"/>
    <w:rsid w:val="283A066B"/>
    <w:rsid w:val="287A7468"/>
    <w:rsid w:val="289555AD"/>
    <w:rsid w:val="29016B29"/>
    <w:rsid w:val="2913394C"/>
    <w:rsid w:val="292245AF"/>
    <w:rsid w:val="29254F24"/>
    <w:rsid w:val="294C71F8"/>
    <w:rsid w:val="294E0CE7"/>
    <w:rsid w:val="29704A9E"/>
    <w:rsid w:val="2985625A"/>
    <w:rsid w:val="29A50E6A"/>
    <w:rsid w:val="29E825D3"/>
    <w:rsid w:val="2A240791"/>
    <w:rsid w:val="2A580245"/>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0A3A54"/>
    <w:rsid w:val="2F3E7AD2"/>
    <w:rsid w:val="2F5B6A51"/>
    <w:rsid w:val="2FFB46AF"/>
    <w:rsid w:val="30016847"/>
    <w:rsid w:val="305A58E9"/>
    <w:rsid w:val="30824DDC"/>
    <w:rsid w:val="30920430"/>
    <w:rsid w:val="309472A4"/>
    <w:rsid w:val="317B1F59"/>
    <w:rsid w:val="318A4283"/>
    <w:rsid w:val="32026033"/>
    <w:rsid w:val="323922EC"/>
    <w:rsid w:val="32766693"/>
    <w:rsid w:val="32994C24"/>
    <w:rsid w:val="32C450D5"/>
    <w:rsid w:val="331137AB"/>
    <w:rsid w:val="334A69AB"/>
    <w:rsid w:val="335D5DA9"/>
    <w:rsid w:val="33AA0E82"/>
    <w:rsid w:val="33BA6FAA"/>
    <w:rsid w:val="33C11557"/>
    <w:rsid w:val="34AF3055"/>
    <w:rsid w:val="35BF7EF1"/>
    <w:rsid w:val="3614328F"/>
    <w:rsid w:val="36375C62"/>
    <w:rsid w:val="36417CF8"/>
    <w:rsid w:val="36725439"/>
    <w:rsid w:val="36B10C6D"/>
    <w:rsid w:val="36B61B60"/>
    <w:rsid w:val="36C16F48"/>
    <w:rsid w:val="36D840B5"/>
    <w:rsid w:val="36DB00E9"/>
    <w:rsid w:val="36E75057"/>
    <w:rsid w:val="36F52A41"/>
    <w:rsid w:val="375C25BD"/>
    <w:rsid w:val="37875F11"/>
    <w:rsid w:val="37A24A6E"/>
    <w:rsid w:val="381B3A7D"/>
    <w:rsid w:val="386E12AA"/>
    <w:rsid w:val="38E61D38"/>
    <w:rsid w:val="396709C4"/>
    <w:rsid w:val="39916AF0"/>
    <w:rsid w:val="39936674"/>
    <w:rsid w:val="399506BD"/>
    <w:rsid w:val="39BE0D9A"/>
    <w:rsid w:val="39D361B3"/>
    <w:rsid w:val="3A247B94"/>
    <w:rsid w:val="3A413D5A"/>
    <w:rsid w:val="3AD36C38"/>
    <w:rsid w:val="3B3403C3"/>
    <w:rsid w:val="3B5F264D"/>
    <w:rsid w:val="3B72400B"/>
    <w:rsid w:val="3C1918F2"/>
    <w:rsid w:val="3C3F44FF"/>
    <w:rsid w:val="3D0C6484"/>
    <w:rsid w:val="3D477772"/>
    <w:rsid w:val="3D642B8D"/>
    <w:rsid w:val="3DAD65CC"/>
    <w:rsid w:val="3DB61502"/>
    <w:rsid w:val="3E010233"/>
    <w:rsid w:val="3E276C01"/>
    <w:rsid w:val="3EC67AC6"/>
    <w:rsid w:val="3F384684"/>
    <w:rsid w:val="3F55424E"/>
    <w:rsid w:val="3FE864ED"/>
    <w:rsid w:val="3FF5B68E"/>
    <w:rsid w:val="3FFF7618"/>
    <w:rsid w:val="40524679"/>
    <w:rsid w:val="41570631"/>
    <w:rsid w:val="415C20F7"/>
    <w:rsid w:val="41786E1E"/>
    <w:rsid w:val="41C02E47"/>
    <w:rsid w:val="41C62049"/>
    <w:rsid w:val="41EF4EBE"/>
    <w:rsid w:val="41F32C74"/>
    <w:rsid w:val="4221156F"/>
    <w:rsid w:val="42225FD9"/>
    <w:rsid w:val="423C570B"/>
    <w:rsid w:val="42615FC5"/>
    <w:rsid w:val="42967E42"/>
    <w:rsid w:val="42A7059E"/>
    <w:rsid w:val="42AA4A92"/>
    <w:rsid w:val="42FF3043"/>
    <w:rsid w:val="432A1040"/>
    <w:rsid w:val="437C2ED6"/>
    <w:rsid w:val="43831389"/>
    <w:rsid w:val="439C63DF"/>
    <w:rsid w:val="43ED5A13"/>
    <w:rsid w:val="444328FD"/>
    <w:rsid w:val="444D4B37"/>
    <w:rsid w:val="446524A1"/>
    <w:rsid w:val="446626BD"/>
    <w:rsid w:val="44BE07D9"/>
    <w:rsid w:val="451611F6"/>
    <w:rsid w:val="458B37CA"/>
    <w:rsid w:val="458C7C18"/>
    <w:rsid w:val="45B57E74"/>
    <w:rsid w:val="46054094"/>
    <w:rsid w:val="464B6ED6"/>
    <w:rsid w:val="46E5677F"/>
    <w:rsid w:val="46FC7C9E"/>
    <w:rsid w:val="473C4F36"/>
    <w:rsid w:val="47D71D41"/>
    <w:rsid w:val="481B35A5"/>
    <w:rsid w:val="484C1017"/>
    <w:rsid w:val="487724AD"/>
    <w:rsid w:val="48A758B6"/>
    <w:rsid w:val="48C360B2"/>
    <w:rsid w:val="48C57DA4"/>
    <w:rsid w:val="48E20B9B"/>
    <w:rsid w:val="491A4C34"/>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164E79"/>
    <w:rsid w:val="504338E1"/>
    <w:rsid w:val="50A02524"/>
    <w:rsid w:val="50CE2E68"/>
    <w:rsid w:val="50F87E96"/>
    <w:rsid w:val="51215B18"/>
    <w:rsid w:val="5196759E"/>
    <w:rsid w:val="51C147EA"/>
    <w:rsid w:val="51EC1214"/>
    <w:rsid w:val="51F162B2"/>
    <w:rsid w:val="52036AFF"/>
    <w:rsid w:val="52286541"/>
    <w:rsid w:val="52A15CC9"/>
    <w:rsid w:val="52DB417A"/>
    <w:rsid w:val="54101469"/>
    <w:rsid w:val="542E50BE"/>
    <w:rsid w:val="54367BA8"/>
    <w:rsid w:val="54617A0D"/>
    <w:rsid w:val="548C494D"/>
    <w:rsid w:val="549D03FE"/>
    <w:rsid w:val="54CF74C2"/>
    <w:rsid w:val="54E82E0F"/>
    <w:rsid w:val="5567591F"/>
    <w:rsid w:val="5577615B"/>
    <w:rsid w:val="55CE23FE"/>
    <w:rsid w:val="56435A71"/>
    <w:rsid w:val="565D5633"/>
    <w:rsid w:val="56BA3299"/>
    <w:rsid w:val="56E56A5A"/>
    <w:rsid w:val="57585BA4"/>
    <w:rsid w:val="575B5092"/>
    <w:rsid w:val="575F2468"/>
    <w:rsid w:val="581229F6"/>
    <w:rsid w:val="595841FF"/>
    <w:rsid w:val="59637CEE"/>
    <w:rsid w:val="59904E8B"/>
    <w:rsid w:val="59BD7460"/>
    <w:rsid w:val="5A231AE8"/>
    <w:rsid w:val="5A2C4116"/>
    <w:rsid w:val="5A324F4B"/>
    <w:rsid w:val="5A9A53AC"/>
    <w:rsid w:val="5AA20D9D"/>
    <w:rsid w:val="5AEA0E1C"/>
    <w:rsid w:val="5B3C509D"/>
    <w:rsid w:val="5B743BCB"/>
    <w:rsid w:val="5B8D171A"/>
    <w:rsid w:val="5B8F6EE2"/>
    <w:rsid w:val="5BB557C0"/>
    <w:rsid w:val="5BF721BE"/>
    <w:rsid w:val="5C1C7CF1"/>
    <w:rsid w:val="5C563A4E"/>
    <w:rsid w:val="5C5E0FBE"/>
    <w:rsid w:val="5D2766FB"/>
    <w:rsid w:val="5D315AC1"/>
    <w:rsid w:val="5D92142E"/>
    <w:rsid w:val="5DAC2C7F"/>
    <w:rsid w:val="5DEB7A0C"/>
    <w:rsid w:val="5DF55075"/>
    <w:rsid w:val="5E0E5FE6"/>
    <w:rsid w:val="5E236C50"/>
    <w:rsid w:val="5E6E766E"/>
    <w:rsid w:val="5E887102"/>
    <w:rsid w:val="5E9152CB"/>
    <w:rsid w:val="5F1E43C2"/>
    <w:rsid w:val="5F416193"/>
    <w:rsid w:val="5F4B552A"/>
    <w:rsid w:val="5F6510BD"/>
    <w:rsid w:val="5F745955"/>
    <w:rsid w:val="5F856924"/>
    <w:rsid w:val="5F9A4585"/>
    <w:rsid w:val="5FDB104A"/>
    <w:rsid w:val="603311A1"/>
    <w:rsid w:val="6045684E"/>
    <w:rsid w:val="606C5CFF"/>
    <w:rsid w:val="608E5546"/>
    <w:rsid w:val="60C801AD"/>
    <w:rsid w:val="60E15E4B"/>
    <w:rsid w:val="613414D3"/>
    <w:rsid w:val="6151530B"/>
    <w:rsid w:val="61AD75F0"/>
    <w:rsid w:val="61D342E4"/>
    <w:rsid w:val="61E07B86"/>
    <w:rsid w:val="61F213C0"/>
    <w:rsid w:val="62295B61"/>
    <w:rsid w:val="626D4F52"/>
    <w:rsid w:val="627774A4"/>
    <w:rsid w:val="631E3504"/>
    <w:rsid w:val="63DB71A1"/>
    <w:rsid w:val="64503C1C"/>
    <w:rsid w:val="646A1129"/>
    <w:rsid w:val="6480674D"/>
    <w:rsid w:val="64895786"/>
    <w:rsid w:val="64CD3806"/>
    <w:rsid w:val="652A390E"/>
    <w:rsid w:val="65303BEA"/>
    <w:rsid w:val="653F1202"/>
    <w:rsid w:val="6556312C"/>
    <w:rsid w:val="65F523A6"/>
    <w:rsid w:val="665C2FF0"/>
    <w:rsid w:val="66AA3B93"/>
    <w:rsid w:val="67074059"/>
    <w:rsid w:val="673E2ADB"/>
    <w:rsid w:val="676104D8"/>
    <w:rsid w:val="6776253F"/>
    <w:rsid w:val="677C64E9"/>
    <w:rsid w:val="6793548B"/>
    <w:rsid w:val="68013273"/>
    <w:rsid w:val="68062FC8"/>
    <w:rsid w:val="68246BFD"/>
    <w:rsid w:val="68766A33"/>
    <w:rsid w:val="68C47B1D"/>
    <w:rsid w:val="68CA5C3B"/>
    <w:rsid w:val="69892233"/>
    <w:rsid w:val="69EB20C6"/>
    <w:rsid w:val="6A4468B1"/>
    <w:rsid w:val="6AB24EDF"/>
    <w:rsid w:val="6BC77D72"/>
    <w:rsid w:val="6BFA1A7B"/>
    <w:rsid w:val="6C256CB5"/>
    <w:rsid w:val="6C277C5F"/>
    <w:rsid w:val="6C68011A"/>
    <w:rsid w:val="6CA466E7"/>
    <w:rsid w:val="6CB0057C"/>
    <w:rsid w:val="6CC56367"/>
    <w:rsid w:val="6CEA63F4"/>
    <w:rsid w:val="6D1B37B0"/>
    <w:rsid w:val="6D394F0C"/>
    <w:rsid w:val="6E7828AC"/>
    <w:rsid w:val="6E854B40"/>
    <w:rsid w:val="6EAE5472"/>
    <w:rsid w:val="6EF717BC"/>
    <w:rsid w:val="6EFE35A8"/>
    <w:rsid w:val="6F2351BC"/>
    <w:rsid w:val="6F483536"/>
    <w:rsid w:val="6F6F407E"/>
    <w:rsid w:val="6F734C5C"/>
    <w:rsid w:val="6FA413A7"/>
    <w:rsid w:val="700F7661"/>
    <w:rsid w:val="703656F9"/>
    <w:rsid w:val="70714C0A"/>
    <w:rsid w:val="70DB06CC"/>
    <w:rsid w:val="71083ECB"/>
    <w:rsid w:val="710A5F9F"/>
    <w:rsid w:val="710F48B3"/>
    <w:rsid w:val="712C1BD3"/>
    <w:rsid w:val="71827032"/>
    <w:rsid w:val="726F450B"/>
    <w:rsid w:val="72894E6B"/>
    <w:rsid w:val="735943ED"/>
    <w:rsid w:val="73A22A85"/>
    <w:rsid w:val="74494D92"/>
    <w:rsid w:val="748C3F03"/>
    <w:rsid w:val="749E203D"/>
    <w:rsid w:val="74EB6A21"/>
    <w:rsid w:val="75016E65"/>
    <w:rsid w:val="75406B41"/>
    <w:rsid w:val="75E95199"/>
    <w:rsid w:val="761402B1"/>
    <w:rsid w:val="766F0C55"/>
    <w:rsid w:val="767024E6"/>
    <w:rsid w:val="767C1E15"/>
    <w:rsid w:val="76F3387D"/>
    <w:rsid w:val="77396FDF"/>
    <w:rsid w:val="77527660"/>
    <w:rsid w:val="778E4E74"/>
    <w:rsid w:val="77CA375F"/>
    <w:rsid w:val="77F4090C"/>
    <w:rsid w:val="77F5A189"/>
    <w:rsid w:val="77FDC32F"/>
    <w:rsid w:val="780C7113"/>
    <w:rsid w:val="781A773F"/>
    <w:rsid w:val="78895C14"/>
    <w:rsid w:val="78A36189"/>
    <w:rsid w:val="78CF75F0"/>
    <w:rsid w:val="78DB7975"/>
    <w:rsid w:val="79BD73F0"/>
    <w:rsid w:val="79CE5F86"/>
    <w:rsid w:val="7A206ACF"/>
    <w:rsid w:val="7A6978F9"/>
    <w:rsid w:val="7AEE204F"/>
    <w:rsid w:val="7B33185E"/>
    <w:rsid w:val="7B7C2350"/>
    <w:rsid w:val="7CBD38D4"/>
    <w:rsid w:val="7CD461AB"/>
    <w:rsid w:val="7D4F01BC"/>
    <w:rsid w:val="7D5738C4"/>
    <w:rsid w:val="7D7C73BB"/>
    <w:rsid w:val="7DB469D5"/>
    <w:rsid w:val="7DE70A55"/>
    <w:rsid w:val="7E592229"/>
    <w:rsid w:val="7E601571"/>
    <w:rsid w:val="7E861FE0"/>
    <w:rsid w:val="7EC73710"/>
    <w:rsid w:val="7F00280E"/>
    <w:rsid w:val="7F3D7429"/>
    <w:rsid w:val="7F413D0D"/>
    <w:rsid w:val="7F432B09"/>
    <w:rsid w:val="7F492E9C"/>
    <w:rsid w:val="7F4C292B"/>
    <w:rsid w:val="7FA53A5A"/>
    <w:rsid w:val="95EF7417"/>
    <w:rsid w:val="BD3B151F"/>
    <w:rsid w:val="D7F9296C"/>
    <w:rsid w:val="E51F2428"/>
    <w:rsid w:val="E75FBA86"/>
    <w:rsid w:val="EDE708EF"/>
    <w:rsid w:val="EFDF63E3"/>
    <w:rsid w:val="FB5F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locked/>
    <w:uiPriority w:val="0"/>
    <w:pPr>
      <w:keepNext/>
      <w:jc w:val="center"/>
      <w:outlineLvl w:val="0"/>
    </w:pPr>
    <w:rPr>
      <w:rFonts w:eastAsia="楷体_GB2312"/>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68"/>
    </w:pPr>
    <w:rPr>
      <w:sz w:val="32"/>
      <w:szCs w:val="32"/>
    </w:rPr>
  </w:style>
  <w:style w:type="paragraph" w:styleId="4">
    <w:name w:val="Body Text Indent"/>
    <w:basedOn w:val="1"/>
    <w:next w:val="5"/>
    <w:qFormat/>
    <w:uiPriority w:val="0"/>
    <w:pPr>
      <w:ind w:left="420" w:leftChars="200"/>
    </w:pPr>
  </w:style>
  <w:style w:type="paragraph" w:styleId="5">
    <w:name w:val="header"/>
    <w:basedOn w:val="1"/>
    <w:link w:val="18"/>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footer"/>
    <w:basedOn w:val="1"/>
    <w:link w:val="17"/>
    <w:qFormat/>
    <w:uiPriority w:val="99"/>
    <w:pPr>
      <w:tabs>
        <w:tab w:val="center" w:pos="4153"/>
        <w:tab w:val="right" w:pos="8306"/>
      </w:tabs>
      <w:snapToGrid w:val="0"/>
      <w:jc w:val="left"/>
    </w:pPr>
    <w:rPr>
      <w:kern w:val="0"/>
      <w:sz w:val="18"/>
      <w:szCs w:val="18"/>
    </w:rPr>
  </w:style>
  <w:style w:type="paragraph" w:styleId="7">
    <w:name w:val="Body Text 2"/>
    <w:basedOn w:val="1"/>
    <w:link w:val="19"/>
    <w:qFormat/>
    <w:uiPriority w:val="0"/>
    <w:pPr>
      <w:overflowPunct w:val="0"/>
      <w:autoSpaceDE w:val="0"/>
      <w:autoSpaceDN w:val="0"/>
      <w:jc w:val="center"/>
    </w:pPr>
    <w:rPr>
      <w:rFonts w:ascii="华文中宋" w:hAnsi="宋体" w:eastAsia="华文中宋"/>
      <w:b/>
      <w:kern w:val="0"/>
      <w:sz w:val="36"/>
      <w:szCs w:val="32"/>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20"/>
    <w:qFormat/>
    <w:locked/>
    <w:uiPriority w:val="0"/>
    <w:pPr>
      <w:spacing w:before="240" w:after="60"/>
      <w:jc w:val="center"/>
      <w:outlineLvl w:val="0"/>
    </w:pPr>
    <w:rPr>
      <w:rFonts w:ascii="Cambria" w:hAnsi="Cambria"/>
      <w:b/>
      <w:bCs/>
      <w:sz w:val="32"/>
      <w:szCs w:val="32"/>
    </w:rPr>
  </w:style>
  <w:style w:type="paragraph" w:styleId="10">
    <w:name w:val="Body Text First Indent 2"/>
    <w:basedOn w:val="4"/>
    <w:next w:val="1"/>
    <w:qFormat/>
    <w:uiPriority w:val="0"/>
    <w:pPr>
      <w:ind w:firstLine="420" w:firstLineChars="200"/>
    </w:p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locked/>
    <w:uiPriority w:val="99"/>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customStyle="1" w:styleId="17">
    <w:name w:val="页脚 Char"/>
    <w:link w:val="6"/>
    <w:qFormat/>
    <w:locked/>
    <w:uiPriority w:val="99"/>
    <w:rPr>
      <w:rFonts w:cs="Times New Roman"/>
      <w:sz w:val="18"/>
      <w:szCs w:val="18"/>
    </w:rPr>
  </w:style>
  <w:style w:type="character" w:customStyle="1" w:styleId="18">
    <w:name w:val="页眉 Char"/>
    <w:link w:val="5"/>
    <w:semiHidden/>
    <w:qFormat/>
    <w:locked/>
    <w:uiPriority w:val="0"/>
    <w:rPr>
      <w:rFonts w:cs="Times New Roman"/>
      <w:sz w:val="18"/>
      <w:szCs w:val="18"/>
    </w:rPr>
  </w:style>
  <w:style w:type="character" w:customStyle="1" w:styleId="19">
    <w:name w:val="正文文本 2 Char"/>
    <w:link w:val="7"/>
    <w:qFormat/>
    <w:uiPriority w:val="0"/>
    <w:rPr>
      <w:rFonts w:ascii="华文中宋" w:hAnsi="宋体" w:eastAsia="华文中宋"/>
      <w:b/>
      <w:sz w:val="36"/>
      <w:szCs w:val="32"/>
    </w:rPr>
  </w:style>
  <w:style w:type="character" w:customStyle="1" w:styleId="20">
    <w:name w:val="标题 Char"/>
    <w:link w:val="9"/>
    <w:qFormat/>
    <w:uiPriority w:val="0"/>
    <w:rPr>
      <w:rFonts w:ascii="Cambria" w:hAnsi="Cambria" w:cs="Times New Roman"/>
      <w:b/>
      <w:bCs/>
      <w:kern w:val="2"/>
      <w:sz w:val="32"/>
      <w:szCs w:val="32"/>
    </w:rPr>
  </w:style>
  <w:style w:type="character" w:customStyle="1" w:styleId="21">
    <w:name w:val="正文文本 2 Char1"/>
    <w:qFormat/>
    <w:uiPriority w:val="0"/>
    <w:rPr>
      <w:kern w:val="2"/>
      <w:sz w:val="21"/>
      <w:szCs w:val="22"/>
    </w:rPr>
  </w:style>
  <w:style w:type="paragraph" w:customStyle="1" w:styleId="22">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3">
    <w:name w:val="列出段落1"/>
    <w:basedOn w:val="1"/>
    <w:qFormat/>
    <w:uiPriority w:val="34"/>
    <w:pPr>
      <w:spacing w:line="360" w:lineRule="auto"/>
      <w:ind w:firstLine="420" w:firstLineChars="200"/>
    </w:pPr>
  </w:style>
  <w:style w:type="paragraph" w:customStyle="1" w:styleId="2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Char Char Char Char Char Char Char"/>
    <w:basedOn w:val="1"/>
    <w:qFormat/>
    <w:uiPriority w:val="0"/>
    <w:pPr>
      <w:widowControl/>
      <w:spacing w:line="240" w:lineRule="exact"/>
      <w:jc w:val="left"/>
    </w:pPr>
  </w:style>
  <w:style w:type="paragraph" w:customStyle="1" w:styleId="27">
    <w:name w:val="List Paragraph1"/>
    <w:basedOn w:val="1"/>
    <w:qFormat/>
    <w:uiPriority w:val="0"/>
    <w:pPr>
      <w:ind w:firstLine="420" w:firstLineChars="200"/>
    </w:pPr>
  </w:style>
  <w:style w:type="paragraph" w:styleId="28">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29">
    <w:name w:val="Table Paragraph"/>
    <w:basedOn w:val="1"/>
    <w:qFormat/>
    <w:uiPriority w:val="1"/>
    <w:pPr>
      <w:spacing w:line="300" w:lineRule="exact"/>
      <w:ind w:left="1307"/>
    </w:pPr>
  </w:style>
  <w:style w:type="character" w:customStyle="1" w:styleId="30">
    <w:name w:val="Book Title"/>
    <w:basedOn w:val="13"/>
    <w:qFormat/>
    <w:uiPriority w:val="33"/>
    <w:rPr>
      <w:b/>
      <w:bCs/>
      <w:smallCaps/>
      <w:spacing w:val="5"/>
    </w:rPr>
  </w:style>
  <w:style w:type="paragraph" w:customStyle="1" w:styleId="31">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6</Pages>
  <Words>2770</Words>
  <Characters>3019</Characters>
  <Lines>24</Lines>
  <Paragraphs>6</Paragraphs>
  <TotalTime>1</TotalTime>
  <ScaleCrop>false</ScaleCrop>
  <LinksUpToDate>false</LinksUpToDate>
  <CharactersWithSpaces>3148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2018-06-18T10:55:00Z</dcterms:created>
  <dc:creator>马强</dc:creator>
  <cp:lastModifiedBy>聂红军</cp:lastModifiedBy>
  <cp:lastPrinted>2019-12-07T19:52:00Z</cp:lastPrinted>
  <dcterms:modified xsi:type="dcterms:W3CDTF">2025-09-04T01:55:15Z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77E3F3F445304946A25035CA91A4B426_13</vt:lpwstr>
  </property>
  <property fmtid="{D5CDD505-2E9C-101B-9397-08002B2CF9AE}" pid="4" name="KSOTemplateDocerSaveRecord">
    <vt:lpwstr>eyJoZGlkIjoiZTUyMWM5NTU3NmQwMzYzZGY2NjUyMjZkNDUzMDVhNDkiLCJ1c2VySWQiOiI0OTM4MTE0ODQifQ==</vt:lpwstr>
  </property>
</Properties>
</file>