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6616">
      <w:pPr>
        <w:adjustRightInd w:val="0"/>
        <w:snapToGrid w:val="0"/>
        <w:ind w:right="122"/>
        <w:jc w:val="center"/>
        <w:rPr>
          <w:rFonts w:hint="eastAsia" w:ascii="宋体" w:hAnsi="宋体" w:cs="宋体"/>
          <w:b/>
          <w:color w:val="FF0000"/>
          <w:spacing w:val="91"/>
          <w:sz w:val="72"/>
          <w:szCs w:val="72"/>
        </w:rPr>
      </w:pPr>
      <w:r>
        <w:rPr>
          <w:rFonts w:hint="eastAsia" w:ascii="宋体" w:hAnsi="宋体" w:cs="宋体"/>
          <w:b/>
          <w:color w:val="FF0000"/>
          <w:spacing w:val="96"/>
          <w:sz w:val="72"/>
          <w:szCs w:val="72"/>
        </w:rPr>
        <w:t>中国国际工程咨询协会</w:t>
      </w:r>
    </w:p>
    <w:p w14:paraId="1BB13B8D">
      <w:pPr>
        <w:adjustRightInd w:val="0"/>
        <w:snapToGrid w:val="0"/>
        <w:spacing w:line="360" w:lineRule="auto"/>
        <w:ind w:right="122"/>
        <w:jc w:val="center"/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124460</wp:posOffset>
                </wp:positionV>
                <wp:extent cx="6219825" cy="1270"/>
                <wp:effectExtent l="0" t="12700" r="3175" b="2413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127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-2.55pt;margin-top:9.8pt;height:0.1pt;width:489.75pt;z-index:251660288;mso-width-relative:page;mso-height-relative:page;" filled="f" stroked="t" coordsize="21600,21600" o:gfxdata="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5irA1wAAAAgBAAAPAAAAAAAAAAEAIAAAACIAAABkcnMvZG93&#10;bnJldi54bWxQSwECFAAUAAAACACHTuJAjAu30wECAAD4AwAADgAAAAAAAAABACAAAAAmAQAAZHJz&#10;L2Uyb0RvYy54bWxQSwUGAAAAAAYABgBZAQAAmQ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30"/>
          <w:szCs w:val="30"/>
        </w:rPr>
        <w:t xml:space="preserve">    </w:t>
      </w:r>
    </w:p>
    <w:p w14:paraId="794656E0">
      <w:pPr>
        <w:adjustRightInd w:val="0"/>
        <w:snapToGrid w:val="0"/>
        <w:spacing w:line="480" w:lineRule="exact"/>
        <w:ind w:right="119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1A7FDA98">
      <w:pPr>
        <w:adjustRightInd w:val="0"/>
        <w:snapToGrid w:val="0"/>
        <w:spacing w:line="480" w:lineRule="exact"/>
        <w:ind w:right="119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关于举办“《建设工程工程量清单计价标准》(GB/T50500-2024)等十项标准应用解读、合同风险揭示与防范暨建设项目全过程造价管控与审计、财评实操专题培训班”</w:t>
      </w:r>
    </w:p>
    <w:p w14:paraId="35F1BF94">
      <w:pPr>
        <w:adjustRightInd w:val="0"/>
        <w:snapToGrid w:val="0"/>
        <w:spacing w:line="480" w:lineRule="exact"/>
        <w:ind w:right="119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的通知</w:t>
      </w:r>
    </w:p>
    <w:p w14:paraId="164F59C0">
      <w:pPr>
        <w:adjustRightInd w:val="0"/>
        <w:snapToGrid w:val="0"/>
        <w:spacing w:line="480" w:lineRule="exact"/>
        <w:ind w:right="119" w:firstLine="1792" w:firstLineChars="700"/>
      </w:pPr>
      <w:r>
        <w:rPr>
          <w:rFonts w:hint="eastAsia" w:ascii="仿宋" w:hAnsi="仿宋" w:eastAsia="仿宋" w:cs="FangSong_GB2312"/>
          <w:color w:val="000000"/>
          <w:spacing w:val="-12"/>
          <w:sz w:val="28"/>
          <w:szCs w:val="28"/>
        </w:rPr>
        <w:t xml:space="preserve">                                       </w:t>
      </w:r>
    </w:p>
    <w:p w14:paraId="7D32CB13">
      <w:pPr>
        <w:pStyle w:val="6"/>
        <w:shd w:val="clear" w:color="FFFFFF" w:fill="FFFFFF"/>
        <w:spacing w:before="0" w:beforeAutospacing="0" w:after="0" w:afterAutospacing="0" w:line="480" w:lineRule="exact"/>
        <w:ind w:right="122"/>
        <w:jc w:val="center"/>
        <w:rPr>
          <w:rStyle w:val="10"/>
          <w:rFonts w:hint="eastAsia" w:ascii="仿宋" w:hAnsi="仿宋" w:eastAsia="仿宋" w:cs="仿宋"/>
          <w:color w:val="3E3E3E"/>
        </w:rPr>
      </w:pPr>
      <w:r>
        <w:rPr>
          <w:rFonts w:hint="eastAsia" w:ascii="仿宋" w:hAnsi="仿宋" w:eastAsia="仿宋" w:cs="FangSong_GB2312"/>
          <w:color w:val="000000"/>
          <w:spacing w:val="-12"/>
          <w:sz w:val="28"/>
          <w:szCs w:val="28"/>
        </w:rPr>
        <w:t xml:space="preserve">                                                                国咨协[2025]</w:t>
      </w:r>
      <w:r>
        <w:rPr>
          <w:rFonts w:hint="eastAsia" w:ascii="仿宋" w:hAnsi="仿宋" w:eastAsia="仿宋" w:cs="FangSong_GB2312"/>
          <w:color w:val="000000"/>
          <w:spacing w:val="-12"/>
          <w:sz w:val="28"/>
          <w:szCs w:val="28"/>
          <w:lang w:val="en-US" w:eastAsia="zh-CN"/>
        </w:rPr>
        <w:t>112</w:t>
      </w:r>
      <w:r>
        <w:rPr>
          <w:rFonts w:hint="eastAsia" w:ascii="仿宋" w:hAnsi="仿宋" w:eastAsia="仿宋" w:cs="FangSong_GB2312"/>
          <w:color w:val="000000"/>
          <w:spacing w:val="-12"/>
          <w:sz w:val="28"/>
          <w:szCs w:val="28"/>
        </w:rPr>
        <w:t>号</w:t>
      </w:r>
    </w:p>
    <w:p w14:paraId="20A59E2D">
      <w:pPr>
        <w:pStyle w:val="6"/>
        <w:shd w:val="clear" w:color="FFFFFF" w:fill="FFFFFF"/>
        <w:spacing w:before="0" w:beforeAutospacing="0" w:after="0" w:afterAutospacing="0"/>
        <w:ind w:right="119"/>
        <w:rPr>
          <w:rStyle w:val="10"/>
          <w:rFonts w:hint="eastAsia" w:ascii="仿宋" w:hAnsi="仿宋" w:eastAsia="仿宋" w:cs="仿宋"/>
          <w:color w:val="3E3E3E"/>
          <w:sz w:val="28"/>
          <w:szCs w:val="28"/>
        </w:rPr>
      </w:pPr>
    </w:p>
    <w:p w14:paraId="0CB1EB02">
      <w:pPr>
        <w:pStyle w:val="6"/>
        <w:shd w:val="clear" w:color="FFFFFF" w:fill="FFFFFF"/>
        <w:spacing w:before="0" w:beforeAutospacing="0" w:after="0" w:afterAutospacing="0"/>
        <w:ind w:right="119"/>
        <w:rPr>
          <w:rStyle w:val="10"/>
          <w:rFonts w:hint="eastAsia" w:ascii="仿宋" w:hAnsi="仿宋" w:eastAsia="仿宋" w:cs="仿宋"/>
          <w:color w:val="3E3E3E"/>
          <w:sz w:val="28"/>
          <w:szCs w:val="28"/>
        </w:rPr>
      </w:pPr>
      <w:r>
        <w:rPr>
          <w:rStyle w:val="10"/>
          <w:rFonts w:hint="eastAsia" w:ascii="仿宋" w:hAnsi="仿宋" w:eastAsia="仿宋" w:cs="仿宋"/>
          <w:color w:val="3E3E3E"/>
          <w:sz w:val="28"/>
          <w:szCs w:val="28"/>
        </w:rPr>
        <w:t>各有关单位：</w:t>
      </w:r>
    </w:p>
    <w:p w14:paraId="05A4AC8E">
      <w:pPr>
        <w:pStyle w:val="6"/>
        <w:shd w:val="clear" w:color="FFFFFF" w:fill="FFFFFF"/>
        <w:spacing w:before="0" w:beforeAutospacing="0" w:after="0" w:afterAutospacing="0" w:line="500" w:lineRule="exact"/>
        <w:ind w:right="119" w:firstLine="560" w:firstLineChars="200"/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  <w:lang w:val="en-US" w:eastAsia="zh-CN"/>
        </w:rPr>
        <w:t>《建设工程工程量清单计价标准》(GB/T 50500-2024)和《房屋建筑与装饰工程工程量计算标准》(GB/T 50854-2024)、《仿古建筑工程工程量计算标准》(GB/T 50855-2024)、《通用安装工程工程量计算标准》(GB/T 50856-2024)、《市政工程工程量计算标准》(GB/T 50857-2024)、《园林绿化工程工程量计算标准》(GB/T 50858-2024)、《矿山工程工程量计算标准》(GB/T 50859-2024)、《构筑物工程工程量计算标准》(GB/T 50860-2024)、《城市轨道交通工程工程量计算标准》(GB/T 50861-2024)、《爆破工程工程量计算标准》(GB/T 50862-2024)等十项国家标准（以下简称“2024版清单计价计算标准”）全面实施，2024版清单计价计算标准的实施，本质上是推动工程造价管理从静态、分割、依定额的模式，向动态、全过程、市场化的模式转型升级。</w:t>
      </w:r>
    </w:p>
    <w:p w14:paraId="01A28BD3">
      <w:pPr>
        <w:pStyle w:val="6"/>
        <w:shd w:val="clear" w:color="FFFFFF" w:fill="FFFFFF"/>
        <w:spacing w:before="0" w:beforeAutospacing="0" w:after="0" w:afterAutospacing="0" w:line="500" w:lineRule="exact"/>
        <w:ind w:right="119" w:firstLine="560" w:firstLineChars="200"/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  <w:lang w:val="en-US" w:eastAsia="zh-CN"/>
        </w:rPr>
        <w:t>为了进一步</w:t>
      </w: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  <w:t>规范施工发承包及实施阶段的工程计量计价规则和方法，持续深化工程造价市场化改革，推动工程造价管理高质量发展，我会决定举办</w:t>
      </w:r>
      <w:r>
        <w:rPr>
          <w:rStyle w:val="10"/>
          <w:rFonts w:hint="eastAsia" w:ascii="仿宋" w:hAnsi="仿宋" w:eastAsia="仿宋" w:cs="仿宋"/>
          <w:color w:val="3E3E3E"/>
          <w:sz w:val="28"/>
          <w:szCs w:val="28"/>
        </w:rPr>
        <w:t>“《建设工程工程量清单计价标准》(GB/T50500-2024)等十项标准应用解读、合同风险揭示与防范暨建设项目全过程造价管控与审计、财评实操专题培训班”</w:t>
      </w: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  <w:t>。</w:t>
      </w:r>
    </w:p>
    <w:p w14:paraId="5812C56C">
      <w:pPr>
        <w:pStyle w:val="6"/>
        <w:shd w:val="clear" w:color="FFFFFF" w:fill="FFFFFF"/>
        <w:spacing w:before="0" w:beforeAutospacing="0" w:after="0" w:afterAutospacing="0" w:line="500" w:lineRule="exact"/>
        <w:ind w:right="119" w:firstLine="560" w:firstLineChars="200"/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  <w:t>培训结束后颁发中国国际工程咨询协会培训结业证书，请各单位积极组织本单位及下属单位相关人员参加。</w:t>
      </w:r>
    </w:p>
    <w:p w14:paraId="632C9F64">
      <w:pPr>
        <w:spacing w:line="500" w:lineRule="exact"/>
        <w:ind w:right="11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一、培训收益</w:t>
      </w:r>
    </w:p>
    <w:p w14:paraId="1638C290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（一）系统性掌握2024版清单计价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计算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新标准​</w:t>
      </w:r>
    </w:p>
    <w:p w14:paraId="31887777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权威解读十大国标​</w:t>
      </w:r>
    </w:p>
    <w:p w14:paraId="7650820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深度解析《建设工程工程量清单计价标准》（GB/T 50500-2024）及九大专业工程量计算标准（房屋建筑、市政、安装工程等）的核心修订内容。</w:t>
      </w:r>
    </w:p>
    <w:p w14:paraId="03E0A23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⚫厘清术语变化（如删除“招标控制价”）、计价方式（单价/总价合同边界）、风险分担原则等关键条款。</w:t>
      </w:r>
    </w:p>
    <w:p w14:paraId="130E34A1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解决实操痛点问题​</w:t>
      </w:r>
    </w:p>
    <w:p w14:paraId="23B41A2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清单漏项/错项的责任认定标准（是否可预见、发现义务）。</w:t>
      </w:r>
    </w:p>
    <w:p w14:paraId="04E2EB8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⚫措施项目优化后的费用归属、总承包服务费计取规则变更。</w:t>
      </w:r>
    </w:p>
    <w:p w14:paraId="1D75A25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⚫市场价格波动调价机制（阈值设定、公式应用）与法律变化应对。</w:t>
      </w:r>
    </w:p>
    <w:p w14:paraId="3DF390F6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（二）合同风险全链条防控能力提升​</w:t>
      </w:r>
    </w:p>
    <w:p w14:paraId="5BAE9E4A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风险识别与条款设计</w:t>
      </w:r>
    </w:p>
    <w:p w14:paraId="6826E4E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剖析合同价格形式（固定单价/总价/混合形式）的合规性与风险点。</w:t>
      </w:r>
    </w:p>
    <w:p w14:paraId="23D6FFF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⚫明确变更估价、新增工程、期中付款、过程结算的约束力及法律效力。</w:t>
      </w:r>
    </w:p>
    <w:p w14:paraId="5163DBF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⚫规避常见陷阱：不平衡报价、暂估价争议、风险范围界定模糊等。</w:t>
      </w:r>
    </w:p>
    <w:p w14:paraId="568F569D">
      <w:pPr>
        <w:ind w:firstLine="560" w:firstLineChars="200"/>
        <w:rPr>
          <w:rFonts w:ascii="Cambria Math" w:hAnsi="Cambria Math" w:eastAsia="仿宋" w:cs="Cambria Math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ascii="仿宋" w:hAnsi="仿宋" w:eastAsia="仿宋"/>
          <w:b/>
          <w:bCs/>
          <w:sz w:val="28"/>
          <w:szCs w:val="28"/>
        </w:rPr>
        <w:t>索赔与反索赔策略</w:t>
      </w:r>
      <w:r>
        <w:rPr>
          <w:rFonts w:ascii="Cambria Math" w:hAnsi="Cambria Math" w:eastAsia="仿宋" w:cs="Cambria Math"/>
          <w:sz w:val="28"/>
          <w:szCs w:val="28"/>
        </w:rPr>
        <w:t>​</w:t>
      </w:r>
    </w:p>
    <w:p w14:paraId="61FB966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掌握索赔事件认定、因果关系举证、损失量化及时效管理要点。</w:t>
      </w:r>
    </w:p>
    <w:p w14:paraId="1C39EE6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⚫学习签证管理规范，确保过程文件合法有效（一事一签、证据链完整）</w:t>
      </w:r>
    </w:p>
    <w:p w14:paraId="4BF29899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（三）建设项目全过程造价精细化管控​</w:t>
      </w:r>
    </w:p>
    <w:p w14:paraId="37D76D02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五阶段核心问题解决方案​</w:t>
      </w:r>
    </w:p>
    <w:p w14:paraId="63B7D27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ascii="仿宋" w:hAnsi="仿宋" w:eastAsia="仿宋"/>
          <w:b/>
          <w:bCs/>
          <w:sz w:val="28"/>
          <w:szCs w:val="28"/>
        </w:rPr>
        <w:t>招投标阶段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清单编制避错、限价编制原则、暂估价招标策略。</w:t>
      </w:r>
    </w:p>
    <w:p w14:paraId="1DDCBBBB">
      <w:pPr>
        <w:spacing w:line="500" w:lineRule="exact"/>
        <w:ind w:right="119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合同签订阶段</w:t>
      </w:r>
      <w:r>
        <w:rPr>
          <w:rFonts w:hint="eastAsia" w:ascii="仿宋" w:hAnsi="仿宋" w:eastAsia="仿宋" w:cs="仿宋"/>
          <w:sz w:val="28"/>
          <w:szCs w:val="28"/>
        </w:rPr>
        <w:t>：黑白合同识别、文件冲突处理、风险包干范围界定</w:t>
      </w:r>
      <w:r>
        <w:rPr>
          <w:rFonts w:ascii="仿宋" w:hAnsi="仿宋" w:eastAsia="仿宋"/>
          <w:sz w:val="28"/>
          <w:szCs w:val="28"/>
        </w:rPr>
        <w:t>。</w:t>
      </w:r>
    </w:p>
    <w:p w14:paraId="74A1642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ascii="仿宋" w:hAnsi="仿宋" w:eastAsia="仿宋"/>
          <w:b/>
          <w:bCs/>
          <w:sz w:val="28"/>
          <w:szCs w:val="28"/>
        </w:rPr>
        <w:t>履约阶段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设计变更调价、措施费调整、停工索赔依据。</w:t>
      </w:r>
    </w:p>
    <w:p w14:paraId="020D2E0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结算阶段</w:t>
      </w:r>
      <w:r>
        <w:rPr>
          <w:rFonts w:hint="eastAsia" w:ascii="仿宋" w:hAnsi="仿宋" w:eastAsia="仿宋" w:cs="仿宋"/>
          <w:sz w:val="28"/>
          <w:szCs w:val="28"/>
        </w:rPr>
        <w:t>：未完工项目取费、甲供材扣除、材料调差实操。</w:t>
      </w:r>
    </w:p>
    <w:p w14:paraId="29BC531E">
      <w:pPr>
        <w:spacing w:line="500" w:lineRule="exact"/>
        <w:ind w:right="119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审计财评阶段</w:t>
      </w:r>
      <w:r>
        <w:rPr>
          <w:rFonts w:hint="eastAsia" w:ascii="仿宋" w:hAnsi="仿宋" w:eastAsia="仿宋" w:cs="仿宋"/>
          <w:sz w:val="28"/>
          <w:szCs w:val="28"/>
        </w:rPr>
        <w:t>：争议解决路径、不平衡报价审计、财政评审权限边界。</w:t>
      </w:r>
    </w:p>
    <w:p w14:paraId="6B254A43">
      <w:pPr>
        <w:ind w:firstLine="562" w:firstLineChars="200"/>
        <w:rPr>
          <w:rFonts w:ascii="Cambria Math" w:hAnsi="Cambria Math" w:eastAsia="仿宋" w:cs="Cambria Math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2.</w:t>
      </w:r>
      <w:r>
        <w:rPr>
          <w:rFonts w:ascii="仿宋" w:hAnsi="仿宋" w:eastAsia="仿宋"/>
          <w:b/>
          <w:bCs/>
          <w:sz w:val="28"/>
          <w:szCs w:val="28"/>
        </w:rPr>
        <w:t>60+高频争议案例解析</w:t>
      </w:r>
      <w:r>
        <w:rPr>
          <w:rFonts w:ascii="Cambria Math" w:hAnsi="Cambria Math" w:eastAsia="仿宋" w:cs="Cambria Math"/>
          <w:sz w:val="28"/>
          <w:szCs w:val="28"/>
        </w:rPr>
        <w:t>​</w:t>
      </w:r>
    </w:p>
    <w:p w14:paraId="228C90A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覆盖招标无效认定、图纸深化费用承担、措施费据实结算等典型场景。</w:t>
      </w:r>
    </w:p>
    <w:p w14:paraId="79373BE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⚫提供审计推翻认质认价、超量扣减等场景的合法应对策略。</w:t>
      </w:r>
    </w:p>
    <w:p w14:paraId="3D2E62EC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（四）适应行业转型与数字化趋势​</w:t>
      </w:r>
    </w:p>
    <w:p w14:paraId="28EE4643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造价管理新模式落地​</w:t>
      </w:r>
    </w:p>
    <w:p w14:paraId="0EEE8E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从静态定额转向动态市场化计价，建立企业数据库与成本管控体系。</w:t>
      </w:r>
    </w:p>
    <w:p w14:paraId="3FFC53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⚫应用BIM技术提升工程量计算精度，实现全过程成本动态监控。</w:t>
      </w:r>
    </w:p>
    <w:p w14:paraId="773131F6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2.审计财评角色升级​</w:t>
      </w:r>
    </w:p>
    <w:p w14:paraId="7630C7F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从"事后审价"转向"全</w:t>
      </w:r>
      <w:r>
        <w:rPr>
          <w:rFonts w:hint="eastAsia" w:ascii="仿宋" w:hAnsi="仿宋" w:eastAsia="仿宋" w:cs="仿宋"/>
          <w:sz w:val="28"/>
          <w:szCs w:val="28"/>
        </w:rPr>
        <w:t>过程监督"，掌握跟踪审计介入时点与方法。</w:t>
      </w:r>
    </w:p>
    <w:p w14:paraId="76D2DDB7">
      <w:pPr>
        <w:spacing w:line="500" w:lineRule="exact"/>
        <w:ind w:right="119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⚫利用信息技术提升审计效能（如数字化工具快速比对结算数据）。</w:t>
      </w:r>
    </w:p>
    <w:p w14:paraId="39CA986B">
      <w:pPr>
        <w:spacing w:line="500" w:lineRule="exact"/>
        <w:ind w:right="11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二、培训内容</w:t>
      </w:r>
    </w:p>
    <w:p w14:paraId="2C46067B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（一）2024版《建设工程工程量清单计价标准》——合同风险揭示与防范</w:t>
      </w:r>
    </w:p>
    <w:p w14:paraId="15736CB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1.适用范围与清单法律性质</w:t>
      </w:r>
    </w:p>
    <w:p w14:paraId="081E354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2.术语的重要变化与影响</w:t>
      </w:r>
    </w:p>
    <w:p w14:paraId="09EF5A6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(1)费率计价项目的风险理解</w:t>
      </w:r>
    </w:p>
    <w:p w14:paraId="3E6C31A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(2)总承包服务费性质</w:t>
      </w:r>
    </w:p>
    <w:p w14:paraId="57B9C6C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(3)合同清单与投标价的区别</w:t>
      </w:r>
    </w:p>
    <w:p w14:paraId="0D0ADA5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(4)删除原招标控制价术语</w:t>
      </w:r>
    </w:p>
    <w:p w14:paraId="7466271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3.计价方式与合同价格形式</w:t>
      </w:r>
    </w:p>
    <w:p w14:paraId="0DF6C37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(1)是否存在既固定单价又固定总价合同吗？</w:t>
      </w:r>
    </w:p>
    <w:p w14:paraId="4EB5C74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(2)或者混合价格形式的合同？</w:t>
      </w:r>
    </w:p>
    <w:p w14:paraId="2EAA01B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4.计价风险与投标报价注意</w:t>
      </w:r>
    </w:p>
    <w:p w14:paraId="4B0FF7E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(1)未按照招标条件填报暂列金额，竣工结算是否扣减？</w:t>
      </w:r>
    </w:p>
    <w:p w14:paraId="3EA57A5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5.清单漏错项风险与履约承担</w:t>
      </w:r>
    </w:p>
    <w:p w14:paraId="6D53EC6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(1)关注错误的性质与成因；发现的义务；不可预见的认定标准？</w:t>
      </w:r>
    </w:p>
    <w:p w14:paraId="47A1AC4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6.变更估价与新增工程</w:t>
      </w:r>
    </w:p>
    <w:p w14:paraId="205AC66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7.市场价格调整与法律变化</w:t>
      </w:r>
    </w:p>
    <w:p w14:paraId="557965F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(1)约定的调价与索赔、违约引起的调价应当予以区分</w:t>
      </w:r>
    </w:p>
    <w:p w14:paraId="2D4A39D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(2)调价的方法予以关注</w:t>
      </w:r>
    </w:p>
    <w:p w14:paraId="139A611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8.期中付款与过程结算的约束力</w:t>
      </w:r>
    </w:p>
    <w:p w14:paraId="248AD99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(1)结算的发起与实施的权利义务</w:t>
      </w:r>
    </w:p>
    <w:p w14:paraId="7DC943F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(2)过程结算的法律约束力、与进度款证书的区别？</w:t>
      </w:r>
    </w:p>
    <w:p w14:paraId="2D419F6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9.总包服务费的变化与应对</w:t>
      </w:r>
    </w:p>
    <w:p w14:paraId="498D9E5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(1)关注服务方案、工作清单、费率计算基础、支付分解、变更等引发调整、优化管理利益</w:t>
      </w:r>
    </w:p>
    <w:p w14:paraId="5901557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10.措施费的分类与变化应对</w:t>
      </w:r>
    </w:p>
    <w:p w14:paraId="23387D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(1)措施项目清单编制的十个要素，如何获得编制经验，并确保结果合理</w:t>
      </w:r>
    </w:p>
    <w:p w14:paraId="4932F44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(2)承包人优化措施后的费用利益归属？</w:t>
      </w:r>
    </w:p>
    <w:p w14:paraId="42D2601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11.再讲索赔的风险与应对</w:t>
      </w:r>
    </w:p>
    <w:p w14:paraId="1BBE69A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(1)关注索赔事件、索赔因果关系、损失大小、索赔时限</w:t>
      </w:r>
    </w:p>
    <w:p w14:paraId="72E887E1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2024版十项清单计价计算标准理解应用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实务</w:t>
      </w:r>
    </w:p>
    <w:p w14:paraId="06A793DA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）2024版清单计价计算标准实施后全过程造价精细化管理 </w:t>
      </w:r>
    </w:p>
    <w:p w14:paraId="65DFC7B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1.招标中工程量清单编制常见错误及规避对策</w:t>
      </w:r>
    </w:p>
    <w:p w14:paraId="54FCC5A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2.最高投标限价编制的原则及投标人投诉的对策</w:t>
      </w:r>
    </w:p>
    <w:p w14:paraId="0037E7F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3.招标文件与评标方法拟定技巧</w:t>
      </w:r>
    </w:p>
    <w:p w14:paraId="7BCAED6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4.暂估材料单价和专业工程暂估价的招标建议</w:t>
      </w:r>
    </w:p>
    <w:p w14:paraId="33039B1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5.投标人投标报价策略及注意事项</w:t>
      </w:r>
    </w:p>
    <w:p w14:paraId="2C61621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6.招投标阶段发包人注意事项</w:t>
      </w:r>
    </w:p>
    <w:p w14:paraId="2EFD416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7.清单计价规范下招投标阶段评标流程及要点</w:t>
      </w:r>
    </w:p>
    <w:p w14:paraId="44C2207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8.工程招标中标后的后续工作及合同交底要点</w:t>
      </w:r>
    </w:p>
    <w:p w14:paraId="6663991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9.合同约定环节造价精细化管控关键点操作</w:t>
      </w:r>
    </w:p>
    <w:p w14:paraId="15F4115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10.合同约定造价内容事项及发生争议的处理原则 </w:t>
      </w:r>
    </w:p>
    <w:p w14:paraId="4F4A339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11.工程变更引发价款调整的计价技术</w:t>
      </w:r>
    </w:p>
    <w:p w14:paraId="6CA9DA6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12.索赔调整的计价技术</w:t>
      </w:r>
    </w:p>
    <w:p w14:paraId="4B2D9F1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13.现场签证调整计价</w:t>
      </w:r>
    </w:p>
    <w:p w14:paraId="303D8D1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14.导致措施项目费用调整的计价办法</w:t>
      </w:r>
    </w:p>
    <w:p w14:paraId="1772E09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15.工程结算管理</w:t>
      </w:r>
    </w:p>
    <w:p w14:paraId="7E41EC39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b/>
          <w:bCs/>
          <w:sz w:val="28"/>
          <w:szCs w:val="28"/>
        </w:rPr>
        <w:t>《2024版清单计价标准》下建设项目全过程造价管控与结算审计财评的变革与应对</w:t>
      </w:r>
      <w:r>
        <w:rPr>
          <w:rFonts w:ascii="Cambria Math" w:hAnsi="Cambria Math" w:eastAsia="仿宋" w:cs="Cambria Math"/>
          <w:b/>
          <w:bCs/>
          <w:sz w:val="28"/>
          <w:szCs w:val="28"/>
        </w:rPr>
        <w:t>​</w:t>
      </w:r>
    </w:p>
    <w:p w14:paraId="4210306E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第一部分：</w:t>
      </w:r>
      <w:r>
        <w:rPr>
          <w:rFonts w:ascii="仿宋" w:hAnsi="仿宋" w:eastAsia="仿宋" w:cs="仿宋"/>
          <w:b/>
          <w:bCs/>
          <w:sz w:val="28"/>
          <w:szCs w:val="28"/>
        </w:rPr>
        <w:t>各阶段造价管控与审计财评的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重点内容</w:t>
      </w:r>
    </w:p>
    <w:p w14:paraId="021ED131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1.招投标阶段造价问题</w:t>
      </w:r>
    </w:p>
    <w:p w14:paraId="734C077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(1)非必须招标项目采取邀请招标方式确定中标人，中标人与招标人实际控股人为同一人，该招标是否有效？</w:t>
      </w:r>
    </w:p>
    <w:p w14:paraId="46C8133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(2)招标文件中技术参数要求有误与现场实际情况不符，如何处理？</w:t>
      </w:r>
    </w:p>
    <w:p w14:paraId="0495F66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(3)专业暂估价，建设单位要求承包人公开招标，承包人想进行邀请招标，如何处理？</w:t>
      </w:r>
    </w:p>
    <w:p w14:paraId="081B9E7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(4)总包合同中专业工程进行了公开招投标没有提及总承包服务费，整个流程已经结束了，签合同的时候可以约定吗?怎么约定?</w:t>
      </w:r>
    </w:p>
    <w:p w14:paraId="269A560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(5)工程量清单存在错项、漏项，如何处理？</w:t>
      </w:r>
    </w:p>
    <w:p w14:paraId="09E22EF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(6)工程量清单漏项与缺项有何不同？招标时措施项目清单漏项，结算时是否可以计取？</w:t>
      </w:r>
    </w:p>
    <w:p w14:paraId="1B59CFE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)清单与图纸不一致如何应对？</w:t>
      </w:r>
    </w:p>
    <w:p w14:paraId="5F89797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)公司内部竞标，智能控制系统，施工图纸深度不够，图纸说明施工时深化设计，分包报价很低，与实际差异巨大，如何处理？</w:t>
      </w:r>
    </w:p>
    <w:p w14:paraId="38053B3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)暂估价材料分多次招标，不同次招标的中标价格差别很大，如何处理？</w:t>
      </w:r>
    </w:p>
    <w:p w14:paraId="3BBEAD2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)清单招标，陶瓷地砖，有中标价格，甲方要求乙方必须采购中标价格的陶瓷地砖，如何处理？</w:t>
      </w:r>
    </w:p>
    <w:p w14:paraId="1D04FBF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)要求投标人经现场踏勘后，自行考虑的费用，如何处理？</w:t>
      </w:r>
    </w:p>
    <w:p w14:paraId="6343344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)总承包服务费未发生，预算包干费，按合同建筑面积计取是否可行？</w:t>
      </w:r>
    </w:p>
    <w:p w14:paraId="24398A2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)未列入暂估价的专业工程，乙方会上报远高于市场价的价格，甲方对于价格是否有权干涉?</w:t>
      </w:r>
    </w:p>
    <w:p w14:paraId="4E766F8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)总价措施费，图纸清单没有深基坑支护的专项设计，危大工程，如何处理？招标答疑未提出，视为投标报价已考虑？专项施工方案论证、专项设计，费用承担？如何支付？</w:t>
      </w:r>
    </w:p>
    <w:p w14:paraId="685E317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5)</w:t>
      </w:r>
      <w:r>
        <w:rPr>
          <w:rFonts w:hint="eastAsia" w:ascii="仿宋" w:hAnsi="仿宋" w:eastAsia="仿宋" w:cs="仿宋"/>
          <w:sz w:val="28"/>
          <w:szCs w:val="28"/>
        </w:rPr>
        <w:t>调整材料含量进行报价会不会导致废标?</w:t>
      </w:r>
    </w:p>
    <w:p w14:paraId="009C549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6)</w:t>
      </w:r>
      <w:r>
        <w:rPr>
          <w:rFonts w:hint="eastAsia" w:ascii="仿宋" w:hAnsi="仿宋" w:eastAsia="仿宋" w:cs="仿宋"/>
          <w:sz w:val="28"/>
          <w:szCs w:val="28"/>
        </w:rPr>
        <w:t>定额控制价，清单招标，电缆井中标包干价很低，变更后尺寸变小，项目特征改变，定额重新组价高，按中标价和尺寸比例扣减？</w:t>
      </w:r>
    </w:p>
    <w:p w14:paraId="0865B45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7)</w:t>
      </w:r>
      <w:r>
        <w:rPr>
          <w:rFonts w:hint="eastAsia" w:ascii="仿宋" w:hAnsi="仿宋" w:eastAsia="仿宋" w:cs="仿宋"/>
          <w:sz w:val="28"/>
          <w:szCs w:val="28"/>
        </w:rPr>
        <w:t>合同约定工程量变化不得索赔是否有效？</w:t>
      </w:r>
    </w:p>
    <w:p w14:paraId="2DDEB81F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2.合同签订阶段造价问题</w:t>
      </w:r>
    </w:p>
    <w:p w14:paraId="544A3C20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(1)固定单价合同，合同约定签证和一般变更不允许调整，投标单位应充分考虑在投标报价中，这条偏向于总价合同的条款，是否成立？</w:t>
      </w:r>
    </w:p>
    <w:p w14:paraId="3EF180A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(2)招标文件规定，招标人不对限额清单准确性负责，限额清单的工程量为中标人必须完成的基本工程量，且总价包干，中标人承担除按合同约定进行调价外的一切风险，如何处理？</w:t>
      </w:r>
    </w:p>
    <w:p w14:paraId="51E239A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(3)合同约定总价包干，没有招标清单，如何应对？</w:t>
      </w:r>
    </w:p>
    <w:p w14:paraId="6ECA761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(4)图纸设计深度不够，在合同没有约定的情况下，新增的措施费应该按实计算还是按投标费率计取？</w:t>
      </w:r>
    </w:p>
    <w:p w14:paraId="6822041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(5)单价合同，签合同时是否可以将报低的分部工程，单独约定为总价计价?</w:t>
      </w:r>
    </w:p>
    <w:p w14:paraId="7C0399D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(6)合同协议书、投标文件、合同专用条款等组成施工合同的文件内容不一致，如何处理？</w:t>
      </w:r>
    </w:p>
    <w:p w14:paraId="3131520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(7)风险范围是否包括设计变更？</w:t>
      </w:r>
    </w:p>
    <w:p w14:paraId="4C25964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(8)建设方如果不补充增建工程的招投标手续，直接使用原合同并将加建工程当做增项，是否合法?</w:t>
      </w:r>
    </w:p>
    <w:p w14:paraId="4BD66C60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)固定总价合同，地勘报告超过预期，导致施工费用增加，如何处理？</w:t>
      </w:r>
    </w:p>
    <w:p w14:paraId="6A14CCC8">
      <w:pPr>
        <w:spacing w:line="500" w:lineRule="exact"/>
        <w:ind w:right="119" w:firstLine="560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)材料调价差的风险范围？材料价差变化幅度的计算方式？调差材料的数量计算方式？价格调整方式？调差税金计取方式？</w:t>
      </w:r>
    </w:p>
    <w:p w14:paraId="3B010CC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)中标清单中总价与单价不符的，如何处理？清标发现、合同签订前发现、合同签订后发现，如何处理？</w:t>
      </w:r>
    </w:p>
    <w:p w14:paraId="32539B90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)总价合同要考虑总价对应的范围，如何索赔？</w:t>
      </w:r>
    </w:p>
    <w:p w14:paraId="4C83AD6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)地勘报告出现错误时，清单项目特征如何调整？</w:t>
      </w:r>
    </w:p>
    <w:p w14:paraId="72A0ADF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4)</w:t>
      </w:r>
      <w:r>
        <w:rPr>
          <w:rFonts w:hint="eastAsia" w:ascii="仿宋" w:hAnsi="仿宋" w:eastAsia="仿宋" w:cs="仿宋"/>
          <w:sz w:val="28"/>
          <w:szCs w:val="28"/>
        </w:rPr>
        <w:t>合同签订的内容和文件规定的执行日期不一样，以哪个为准?</w:t>
      </w:r>
    </w:p>
    <w:p w14:paraId="193FFE7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5)</w:t>
      </w:r>
      <w:r>
        <w:rPr>
          <w:rFonts w:hint="eastAsia" w:ascii="仿宋" w:hAnsi="仿宋" w:eastAsia="仿宋" w:cs="仿宋"/>
          <w:sz w:val="28"/>
          <w:szCs w:val="28"/>
        </w:rPr>
        <w:t>清单计价、总价合同约定红线内是承包范围，邻近规划红线处的施工道路，需设置挡土墙，费用如何处理？</w:t>
      </w:r>
    </w:p>
    <w:p w14:paraId="47119AD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6)</w:t>
      </w:r>
      <w:r>
        <w:rPr>
          <w:rFonts w:hint="eastAsia" w:ascii="仿宋" w:hAnsi="仿宋" w:eastAsia="仿宋" w:cs="仿宋"/>
          <w:sz w:val="28"/>
          <w:szCs w:val="28"/>
        </w:rPr>
        <w:t>施工合同与中标合同约定的工程价款不一致时是否构成黑白合同？</w:t>
      </w:r>
    </w:p>
    <w:p w14:paraId="096EA0E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7)</w:t>
      </w:r>
      <w:r>
        <w:rPr>
          <w:rFonts w:hint="eastAsia" w:ascii="仿宋" w:hAnsi="仿宋" w:eastAsia="仿宋" w:cs="仿宋"/>
          <w:sz w:val="28"/>
          <w:szCs w:val="28"/>
        </w:rPr>
        <w:t>双方对材料数量的计算标准发生重大误解，如何处理？</w:t>
      </w:r>
    </w:p>
    <w:p w14:paraId="7C3E6350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3.履约阶段造价问题</w:t>
      </w:r>
    </w:p>
    <w:p w14:paraId="0074DD0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(1)不对分包单位进行退场处理，不重新招标的情况下，建设单位在不违反主合同，材料价差如何调整？</w:t>
      </w:r>
    </w:p>
    <w:p w14:paraId="1E508E8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(2)招标材料无品牌要求，后甲方指定了品牌，如何调整？</w:t>
      </w:r>
    </w:p>
    <w:p w14:paraId="1379300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(3)图纸设计变更，场内道路和交通设施费用如何调整？</w:t>
      </w:r>
    </w:p>
    <w:p w14:paraId="2B34777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(4)图纸未经深化，计容面积大，单价低，图纸完善后，建筑面积小，劳务不同意按原报价现面积结算？</w:t>
      </w:r>
    </w:p>
    <w:p w14:paraId="16D7D62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(5)无投标的材料消耗量，如何调材料价差？</w:t>
      </w:r>
    </w:p>
    <w:p w14:paraId="4C91CD0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)单价合同，合同约定变更组价采用清单单价，但相同项目特征，清单单价有高有低，如何处理？</w:t>
      </w:r>
    </w:p>
    <w:p w14:paraId="1073B02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)变更单价如何确定？是否受13清单规范之15%约束？</w:t>
      </w:r>
    </w:p>
    <w:p w14:paraId="4139B8D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)按项包干的措施费，能否按实调整？</w:t>
      </w:r>
    </w:p>
    <w:p w14:paraId="6412631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)甲方原因停工，乙方能获得什么赔偿？临建措施索赔依据？</w:t>
      </w:r>
    </w:p>
    <w:p w14:paraId="3070837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)合同范围内，措施项目漏项，报价能否自行增加？</w:t>
      </w:r>
    </w:p>
    <w:p w14:paraId="6770F7D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)工程已验收合格，实际做法与原设计有偏差，能否执行原投标单价？</w:t>
      </w:r>
    </w:p>
    <w:p w14:paraId="73E21F5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)单方提出因工程质量问题，扣减工程量的做法是否合理？</w:t>
      </w:r>
    </w:p>
    <w:p w14:paraId="44D8698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)材料价格严重偏高，现场管理费严重偏高，如何处理？</w:t>
      </w:r>
    </w:p>
    <w:p w14:paraId="3D561B4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4)</w:t>
      </w:r>
      <w:r>
        <w:rPr>
          <w:rFonts w:hint="eastAsia" w:ascii="仿宋" w:hAnsi="仿宋" w:eastAsia="仿宋" w:cs="仿宋"/>
          <w:sz w:val="28"/>
          <w:szCs w:val="28"/>
        </w:rPr>
        <w:t>如何认定变更方案不合理或过度变更？</w:t>
      </w:r>
    </w:p>
    <w:p w14:paraId="2B60DFC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5)</w:t>
      </w:r>
      <w:r>
        <w:rPr>
          <w:rFonts w:hint="eastAsia" w:ascii="仿宋" w:hAnsi="仿宋" w:eastAsia="仿宋" w:cs="仿宋"/>
          <w:sz w:val="28"/>
          <w:szCs w:val="28"/>
        </w:rPr>
        <w:t>为了抢工期，脚手架用量的增加，能否根据施工方案调整?怎样调整？</w:t>
      </w:r>
    </w:p>
    <w:p w14:paraId="3E75106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6)</w:t>
      </w:r>
      <w:r>
        <w:rPr>
          <w:rFonts w:hint="eastAsia" w:ascii="仿宋" w:hAnsi="仿宋" w:eastAsia="仿宋" w:cs="仿宋"/>
          <w:sz w:val="28"/>
          <w:szCs w:val="28"/>
        </w:rPr>
        <w:t>经专家认证的高支模方案增加的费用是否可以按实计取?</w:t>
      </w:r>
    </w:p>
    <w:p w14:paraId="3C55142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(17)</w:t>
      </w:r>
      <w:r>
        <w:rPr>
          <w:rFonts w:hint="eastAsia" w:ascii="仿宋" w:hAnsi="仿宋" w:eastAsia="仿宋" w:cs="仿宋"/>
          <w:sz w:val="28"/>
          <w:szCs w:val="28"/>
        </w:rPr>
        <w:t>未形成工程实体的措施项目，能否按漏项处理？</w:t>
      </w:r>
    </w:p>
    <w:p w14:paraId="49FA83A4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4.结算阶段造价问题</w:t>
      </w:r>
    </w:p>
    <w:p w14:paraId="2A98FB6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(1)没有详细的招投标清单怎么结算？</w:t>
      </w:r>
    </w:p>
    <w:p w14:paraId="49F25E10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(2)没有项目特征，没有单位，投标时只报一笔费用，如何结算？</w:t>
      </w:r>
    </w:p>
    <w:p w14:paraId="720F610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(3)图纸量少于招标量，如何结算？按总价合同结算还是按实际完成的图纸结算？</w:t>
      </w:r>
    </w:p>
    <w:p w14:paraId="5309515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(4)图纸没有，清单增列部分报高价了，如何处理？</w:t>
      </w:r>
    </w:p>
    <w:p w14:paraId="278302C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(5)招标清单按项计取的措施项，能否据实结算？</w:t>
      </w:r>
    </w:p>
    <w:p w14:paraId="680E434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(6)招标清单措施项，无清单量，如何结算？</w:t>
      </w:r>
    </w:p>
    <w:p w14:paraId="0638542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(7)招标清单漏项的专业工程暂估价费用，应该由哪一方来承担？</w:t>
      </w:r>
    </w:p>
    <w:p w14:paraId="3A01806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(8)招标控制价早，工程一直迟迟未开工，各种原材料上涨，招标控制价又没有计取暂列金额，结算时应怎样解决？</w:t>
      </w:r>
    </w:p>
    <w:p w14:paraId="66A81BF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(9)单价合同，中标清单分部分项工程总价和单价不符，如何处理？</w:t>
      </w:r>
    </w:p>
    <w:p w14:paraId="5A462BD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(10)工程未完工，脚手架、垂运费、安全文明施工费，如何计取？</w:t>
      </w:r>
    </w:p>
    <w:p w14:paraId="510DF2F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(11)价高量减，如何结算?</w:t>
      </w:r>
    </w:p>
    <w:p w14:paraId="1F2F99B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(12)甲供材结算，投标报价的辅助材料费能否扣减？</w:t>
      </w:r>
    </w:p>
    <w:p w14:paraId="0029F2F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(13)甲供材扣除，是否算损耗量？</w:t>
      </w:r>
    </w:p>
    <w:p w14:paraId="645A47D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(14)增建工程尚未签订合同，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双方</w:t>
      </w:r>
      <w:r>
        <w:rPr>
          <w:rFonts w:hint="eastAsia" w:ascii="仿宋" w:hAnsi="仿宋" w:eastAsia="仿宋" w:cs="仿宋"/>
          <w:sz w:val="28"/>
          <w:szCs w:val="28"/>
        </w:rPr>
        <w:t>口头约定计价依据暂参照原合同，如何处理？</w:t>
      </w:r>
    </w:p>
    <w:p w14:paraId="7681FA3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(15)补充协议对该协议签订前施工完的工程是否有约束力?</w:t>
      </w:r>
    </w:p>
    <w:p w14:paraId="7368D74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措施费的计量单位为项，能否据实结算?</w:t>
      </w:r>
    </w:p>
    <w:p w14:paraId="1818EEE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材料调价差，调差工程量，如何确定?</w:t>
      </w:r>
    </w:p>
    <w:p w14:paraId="0F9201D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材料价格的认证一般采用的依据？当需要自行加工时，材料价格应如何认证？</w:t>
      </w:r>
    </w:p>
    <w:p w14:paraId="6F5D5A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材料暂估价的分部分项，报价材料消耗量调低，暂估单价没变，综合单价偏低，结算时，能否按实际消耗量和材料采购价重新组价？</w:t>
      </w:r>
    </w:p>
    <w:p w14:paraId="2B56C3AE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5.结算审计与财政评审阶段造价问题</w:t>
      </w:r>
    </w:p>
    <w:p w14:paraId="3A9DBB4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(1)信息价偏高，能否按市场价格进行审定？</w:t>
      </w:r>
    </w:p>
    <w:p w14:paraId="5026A78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(2)当对建设单位报送的招标控制价与结算进行评审时，发现报送单位报送的招标控制价与结算存在缺项、漏项及与清单描述与图纸不符时如何处理？</w:t>
      </w:r>
    </w:p>
    <w:p w14:paraId="75F5AED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(3)结算审核，能否依据乙方提供的发票审减？</w:t>
      </w:r>
    </w:p>
    <w:p w14:paraId="6D42902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(4)结算审核时，审核单位对原有图纸中的工程量是否要重新计算、重新核对？</w:t>
      </w:r>
    </w:p>
    <w:p w14:paraId="2DA02A3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(5)结算时，审计单位以调整人工费结算标准缺乏契约依据为由，不予调整，如何应对？</w:t>
      </w:r>
    </w:p>
    <w:p w14:paraId="74804CE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(6)结算书只有造价咨询企业的公章，没有造价人员签字和盖职业印章，是否有效？</w:t>
      </w:r>
    </w:p>
    <w:p w14:paraId="7914353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(7)审计方能否修改预算单价和合同总价，是否违背合同？</w:t>
      </w:r>
    </w:p>
    <w:p w14:paraId="1749F7B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(8)审计方以投标和实际施工方式不一致为由，要求重新组价，是否合理？</w:t>
      </w:r>
    </w:p>
    <w:p w14:paraId="0BB0E9A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(9)在结算项目评审中，结算造价超中标造价30％以上，超出新增部分有补充协议，若遇到这种情况处理方式和意见是什么？</w:t>
      </w:r>
    </w:p>
    <w:p w14:paraId="1D00215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(10)在评审过程中因部分材料存在异议如设备安装，遇到这种材料异议大，但施工单位提供购买时发票的，该部分材料价如何调整？</w:t>
      </w:r>
    </w:p>
    <w:p w14:paraId="290B6AC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(11)在与建设单位与施工单位进行核对时，当出现意见不统一时，应如何进行解决？是咨询市、省定额站？是否为权威机构，咨询后如何形成文字，是出具函？</w:t>
      </w:r>
    </w:p>
    <w:p w14:paraId="360D522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(12)暂估价，认质认价，结算审计能否推翻？</w:t>
      </w:r>
    </w:p>
    <w:p w14:paraId="3814880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(13)政府投资项目财政评审范围外的货物、设备、软件的总包采购价格确定方式？</w:t>
      </w:r>
    </w:p>
    <w:p w14:paraId="06B3CF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(14)总价合同竣工后，审计要求超量不增加，少量扣除，是否合理？</w:t>
      </w:r>
    </w:p>
    <w:p w14:paraId="3B2B987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(15)不平衡报价，审计能否要求重新组价？</w:t>
      </w:r>
    </w:p>
    <w:p w14:paraId="1284236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暂估价项目的“认价”性质分析：合同双方认定的价格审计可否再核减？</w:t>
      </w:r>
    </w:p>
    <w:p w14:paraId="725020E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合同价格中的竞争性费用不合理，审计能否“打开”合同进行核减？</w:t>
      </w:r>
    </w:p>
    <w:p w14:paraId="070A43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“不平衡价格”下的结算争议与审计定性</w:t>
      </w:r>
    </w:p>
    <w:p w14:paraId="2FCBCDA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固定价格合同调价的审计风险与案例</w:t>
      </w:r>
    </w:p>
    <w:p w14:paraId="052DC37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合同价格中的某些内容未发生，是“按实审计”还是“依约审计”？</w:t>
      </w:r>
    </w:p>
    <w:p w14:paraId="0CDB0620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第二部分：各阶段造价管控与审计财评的修改要点​</w:t>
      </w:r>
    </w:p>
    <w:p w14:paraId="34ABB408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（一）投资决策与设计阶段​</w:t>
      </w:r>
    </w:p>
    <w:p w14:paraId="4F2A0A6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1.修改前重点：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主要以估算指标、概算定额为依据，精度相对较低，与市场实际可能存在脱节。</w:t>
      </w:r>
    </w:p>
    <w:p w14:paraId="1ADEDB7B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2.2024版标准下的修改与强化：</w:t>
      </w:r>
    </w:p>
    <w:p w14:paraId="1AD21B2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(1)管控要点：</w:t>
      </w:r>
    </w:p>
    <w:p w14:paraId="0968CE0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提高估算概算的准确性：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鼓励使用BIM技术进行设计，自动提取工程量，与清单标准无缝对接，减少后期工程量偏差。</w:t>
      </w:r>
    </w:p>
    <w:p w14:paraId="14B4F67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风险初步研判：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在投资估算中需考虑重大风险因素（如政策调整、地质条件等）的预备费。</w:t>
      </w:r>
    </w:p>
    <w:p w14:paraId="7D5F890B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(2)审计/财评要点：</w:t>
      </w:r>
    </w:p>
    <w:p w14:paraId="5519611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审核投资估算、设计概算的编制依据是否充分、方法是否科学，是否体现了新标准的市场化原则。</w:t>
      </w:r>
    </w:p>
    <w:p w14:paraId="49AE46A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重点关注方案比选过程的合规性与经济性结论的合理性。</w:t>
      </w:r>
    </w:p>
    <w:p w14:paraId="3DD987AD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（二）招投标阶段​</w:t>
      </w:r>
    </w:p>
    <w:p w14:paraId="5D36E03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1.修改前重点：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按图纸计算工程量，投标人按定额或企业定额组价，风险分担模式较为固定。</w:t>
      </w:r>
    </w:p>
    <w:p w14:paraId="1D44C586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2.2024版标准下的修改与强化：</w:t>
      </w:r>
    </w:p>
    <w:p w14:paraId="725A5ED9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(1)管控要点：</w:t>
      </w:r>
    </w:p>
    <w:p w14:paraId="0FF59B6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清单编制质量是核心：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招标人（或咨询方）必须提供准确、完整、清晰的工程量清单，对清单的准确性和完整性负责，避免后期出现重大争议。这是新标准对招标人的刚性要求。</w:t>
      </w:r>
    </w:p>
    <w:p w14:paraId="5C56851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深化合同条款设计：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合同必须明确约定价格风险的分担范围和调整方法​（如主要材料价格波动的调整阈值和公式），符合新标准倡导的风险共担原则。</w:t>
      </w:r>
    </w:p>
    <w:p w14:paraId="7E3DC88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最高投标限价（招标控制价）的合理性：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限价应基于市场行情和企业平均水平编制，而非简单套用政府定额，防止“一刀切”。</w:t>
      </w:r>
    </w:p>
    <w:p w14:paraId="2342F42E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(2)审计/财评要点：</w:t>
      </w:r>
    </w:p>
    <w:p w14:paraId="5A9E5C6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过程跟踪审计：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财评机构应提前介入，审计招标文件、清单、最高限价和合同条款的合规性、合理性和完整性。</w:t>
      </w:r>
    </w:p>
    <w:p w14:paraId="084BD78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重点审查风险分担条款是否公平、合规，价格调整公式是否明确可操作。</w:t>
      </w:r>
    </w:p>
    <w:p w14:paraId="60971B8B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（三）施工阶段​</w:t>
      </w:r>
    </w:p>
    <w:p w14:paraId="20089FB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1.修改前重点：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按进度计量支付，处理现场签证和变更，但常因资料不全、责任不清导致结算纠纷。</w:t>
      </w:r>
    </w:p>
    <w:p w14:paraId="05E4828F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2.2024版标准下的修改与强化：</w:t>
      </w:r>
    </w:p>
    <w:p w14:paraId="2A714F37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(1)管控要点：</w:t>
      </w:r>
    </w:p>
    <w:p w14:paraId="57F8AB5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动态成本控制：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建立全过程成本数据库，实时对比目标成本、合同价与实际发生成本，及时预警。</w:t>
      </w:r>
    </w:p>
    <w:p w14:paraId="79D2624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规范过程文件管理：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对工程变更、现场签证、索赔等事件，必须做到“一事一签、证据确凿、计价明确”，其计价必须严格遵循合同约定的清单计价原则。</w:t>
      </w:r>
    </w:p>
    <w:p w14:paraId="17111BA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价款支付与调整：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严格按照合同约定进行期中计量支付，并按规定周期（如按月）依据合同调价条款对人工、材料等进行动态调整。</w:t>
      </w:r>
    </w:p>
    <w:p w14:paraId="065FAC9E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(2)审计/财评要点：</w:t>
      </w:r>
    </w:p>
    <w:p w14:paraId="1F6DEB0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推行“跟踪审计”模式：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审计人员定期或不定期进驻现场，对重大变更、隐蔽工程、材料认价等过程进行实时审计见证，变“事后被动审计”为“过程主动控制”。</w:t>
      </w:r>
    </w:p>
    <w:p w14:paraId="56DE969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审计过程支付资料的完整性和支付的准确性，防止超付。</w:t>
      </w:r>
    </w:p>
    <w:p w14:paraId="34448616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（四）竣工结算与审计财评阶段​</w:t>
      </w:r>
    </w:p>
    <w:p w14:paraId="43D8C24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1.修改前重点：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竣工后集中核对工程量、套定额、争议扯皮多，周期长。</w:t>
      </w:r>
    </w:p>
    <w:p w14:paraId="6DA2C24F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2.2024版标准下的修改与强化：</w:t>
      </w:r>
    </w:p>
    <w:p w14:paraId="180555B3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(1)管控与审计要点：</w:t>
      </w:r>
    </w:p>
    <w:p w14:paraId="1FB5776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结算效率大幅提升：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得益于全过程数据的积累（尤其是BIM模型的工程量数据）和过程跟踪审计，结算争议大大减少，结算审核工作重心从“核对量价”转向“审核合规性与合理性”。</w:t>
      </w:r>
    </w:p>
    <w:p w14:paraId="393BBEF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重点审核内容变化：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合规性：所有变更、签证、索赔的程序是否合规，资料是否齐全有效。</w:t>
      </w:r>
    </w:p>
    <w:p w14:paraId="441A741B">
      <w:pPr>
        <w:spacing w:line="500" w:lineRule="exact"/>
        <w:ind w:right="119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计价原则：所有结算项是否严格遵循合同约定的清单计价原则，包括项目特征不符时的重新组价原则、价格调整公式的应用等。</w:t>
      </w:r>
    </w:p>
    <w:p w14:paraId="45E5103E">
      <w:pPr>
        <w:spacing w:line="500" w:lineRule="exact"/>
        <w:ind w:right="119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风险事件：对合同约定的风险范围之外的事件，其责任认定和费用计取是否合理。</w:t>
      </w:r>
    </w:p>
    <w:p w14:paraId="7FACEB9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数字化审计：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利用造价软件和数据库，对结算数据进行快速比对和分析，提高审计效率和准确性。</w:t>
      </w:r>
    </w:p>
    <w:p w14:paraId="27D7149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财政评审：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财评中心在收到送审结算后，将基于全过程跟踪审计的成果和数字化工具，进行最终复核与认定，其评审结论将更具权威性和准确性。</w:t>
      </w:r>
    </w:p>
    <w:p w14:paraId="34B442B7">
      <w:pPr>
        <w:spacing w:line="500" w:lineRule="exact"/>
        <w:ind w:right="11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、培训对象</w:t>
      </w:r>
    </w:p>
    <w:p w14:paraId="027046D8">
      <w:pPr>
        <w:spacing w:line="500" w:lineRule="exact"/>
        <w:ind w:right="119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设行政主管部门、审计部门及建设工程相关行业协会负责人；建设业主单位及工程建设企业（工程承包、建筑施工、勘察设计、房地产开发、工程项目管理、工程监理、工程咨询、工程造价、招标代理等）总经理、总造价顾问、法务总监、总工程师，经营管理、项目管理、市场开发、商务谈判、招标投标、合同管理、成本管理、法律事务等中高级管理人员以及业务相关的直线经理人等；律师事务所律师；高等院校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医院、机关、</w:t>
      </w:r>
      <w:r>
        <w:rPr>
          <w:rFonts w:hint="eastAsia" w:ascii="仿宋" w:hAnsi="仿宋" w:eastAsia="仿宋" w:cs="仿宋"/>
          <w:sz w:val="28"/>
          <w:szCs w:val="28"/>
        </w:rPr>
        <w:t>科研机构有关人员等。</w:t>
      </w:r>
    </w:p>
    <w:p w14:paraId="285A7036">
      <w:pPr>
        <w:spacing w:line="500" w:lineRule="exact"/>
        <w:ind w:right="119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、拟邀请专家</w:t>
      </w:r>
    </w:p>
    <w:p w14:paraId="0F23E5D9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吴佐民老师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</w:t>
      </w:r>
      <w:r>
        <w:rPr>
          <w:rFonts w:ascii="仿宋" w:hAnsi="仿宋" w:eastAsia="仿宋" w:cs="仿宋"/>
          <w:kern w:val="0"/>
          <w:sz w:val="28"/>
          <w:szCs w:val="28"/>
        </w:rPr>
        <w:t>版《建设工程工程量清单计价标准》</w:t>
      </w:r>
      <w:r>
        <w:rPr>
          <w:rFonts w:hint="eastAsia" w:ascii="仿宋" w:hAnsi="仿宋" w:eastAsia="仿宋" w:cs="仿宋"/>
          <w:kern w:val="0"/>
          <w:sz w:val="28"/>
          <w:szCs w:val="28"/>
        </w:rPr>
        <w:t>审查</w:t>
      </w:r>
      <w:r>
        <w:rPr>
          <w:rFonts w:ascii="仿宋" w:hAnsi="仿宋" w:eastAsia="仿宋" w:cs="仿宋"/>
          <w:kern w:val="0"/>
          <w:sz w:val="28"/>
          <w:szCs w:val="28"/>
        </w:rPr>
        <w:t>专家组成员、教授级高级工程师，享受国务院政府特殊津贴。</w:t>
      </w:r>
    </w:p>
    <w:p w14:paraId="129E35F0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谭敬慧老师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2024版《建设工程工程量清单计价标准》起草组专家成员；</w:t>
      </w:r>
      <w:r>
        <w:rPr>
          <w:rFonts w:ascii="仿宋" w:hAnsi="仿宋" w:eastAsia="仿宋" w:cs="仿宋"/>
          <w:kern w:val="0"/>
          <w:sz w:val="28"/>
          <w:szCs w:val="28"/>
        </w:rPr>
        <w:t>住房和城乡建设部</w:t>
      </w:r>
      <w:r>
        <w:rPr>
          <w:rFonts w:hint="eastAsia" w:ascii="仿宋" w:hAnsi="仿宋" w:eastAsia="仿宋" w:cs="仿宋"/>
          <w:kern w:val="0"/>
          <w:sz w:val="28"/>
          <w:szCs w:val="28"/>
        </w:rPr>
        <w:t>法律顾问、国家发改委和财政部PPP双库专家；《民法典》、《建筑法》、《招标投标法》立法专家；贸仲、北仲等全国多家机构仲裁员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73729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19" w:firstLine="561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柯洪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天津理工大学管理学院教授，硕士生导师。中国建设工程造价管理协会专家委员会专家委员，中国建筑学会建筑经济分会理事会理事。长期从事政府投资项目研究，主持国家社科重点项目、教育部人文社会科学研究规划基金项目等，累计科研经费300余万。出版专著6部；发表SSCI、EI、CSSCI、CSCD检索学术论文40余篇。</w:t>
      </w:r>
    </w:p>
    <w:p w14:paraId="7134CCCC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贾宏俊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</w:t>
      </w:r>
      <w:r>
        <w:rPr>
          <w:rFonts w:ascii="仿宋" w:hAnsi="仿宋" w:eastAsia="仿宋" w:cs="仿宋"/>
          <w:kern w:val="0"/>
          <w:sz w:val="28"/>
          <w:szCs w:val="28"/>
        </w:rPr>
        <w:t>版《建设工程工程量清单计价标准》</w:t>
      </w:r>
      <w:r>
        <w:rPr>
          <w:rFonts w:hint="eastAsia" w:ascii="仿宋" w:hAnsi="仿宋" w:eastAsia="仿宋" w:cs="仿宋"/>
          <w:kern w:val="0"/>
          <w:sz w:val="28"/>
          <w:szCs w:val="28"/>
        </w:rPr>
        <w:t>审查</w:t>
      </w:r>
      <w:r>
        <w:rPr>
          <w:rFonts w:ascii="仿宋" w:hAnsi="仿宋" w:eastAsia="仿宋" w:cs="仿宋"/>
          <w:kern w:val="0"/>
          <w:sz w:val="28"/>
          <w:szCs w:val="28"/>
        </w:rPr>
        <w:t>专家组成员、中国工程项目管理委员会专家办公室副主任、住房和城乡建设部战略发展专家委员、中国建设工程造价管理协会专家委员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7FFFC388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罗小兰老师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2024版《建设工程工程量清单计价标准》主要起草人，FIDIC国际认证咨询工程师，住房和城乡建设部“总对总”工程纠纷调解员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澳门工程造价师学会副理事长。</w:t>
      </w:r>
    </w:p>
    <w:p w14:paraId="68931E54">
      <w:pPr>
        <w:spacing w:line="500" w:lineRule="exact"/>
        <w:ind w:right="119" w:firstLine="56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刘雷老师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南京审计大学工程管理学院造价管理系（江苏省公共工程审计重点实验室）副教授，博士。</w:t>
      </w:r>
      <w:r>
        <w:rPr>
          <w:rFonts w:ascii="仿宋" w:hAnsi="仿宋" w:eastAsia="仿宋" w:cs="仿宋"/>
          <w:kern w:val="0"/>
          <w:sz w:val="28"/>
          <w:szCs w:val="28"/>
        </w:rPr>
        <w:t>长期担任国家审计机关、政府机构、大型国有企业“工程总承包及EPC项目管理、建设工程招投标与合同管理、建设工程造价与审计课程”的主讲专家</w:t>
      </w:r>
    </w:p>
    <w:p w14:paraId="198FA6C3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罗燕老师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版《建设工程工程量清单计价标准》主要起草人，FIDIC国际认证咨询工程师，住房和城乡建设部“总对总”工程纠纷调解员，广东省建设工程标准定额站造价纠纷处理专家，广东省工程造价协会专家证人发展委员会专家证人。</w:t>
      </w:r>
    </w:p>
    <w:p w14:paraId="533745FD">
      <w:pPr>
        <w:spacing w:line="500" w:lineRule="exact"/>
        <w:ind w:right="119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、时间地点</w:t>
      </w:r>
    </w:p>
    <w:p w14:paraId="281E762E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2025年12月18日-22日（18日全天报到）  哈尔滨市</w:t>
      </w:r>
    </w:p>
    <w:p w14:paraId="4B9F1001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2025年12月25日-29日（25日全天报到）  厦门市</w:t>
      </w:r>
    </w:p>
    <w:p w14:paraId="26DAE026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2026年01月22日-26日（22日全天报到） 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</w:rPr>
        <w:t>北京市</w:t>
      </w:r>
    </w:p>
    <w:p w14:paraId="6115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、相关费用</w:t>
      </w:r>
      <w:bookmarkStart w:id="0" w:name="OLE_LINK7"/>
    </w:p>
    <w:p w14:paraId="1551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A:3980元/人（含培训费、场地费、资料费、专家、结业证书、会议期间午餐等），住宿统一安排，费用自理。</w:t>
      </w:r>
    </w:p>
    <w:p w14:paraId="741D2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B:5980元/人（含培训费、场地费、资料费、专家、一项岗位能力证书、会议期间午餐等），住宿统一安排，费用自理。</w:t>
      </w:r>
    </w:p>
    <w:p w14:paraId="1EBFF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C:以上内容线上培训费用：28000元一个学习账号，单位投屏播放，统一观看，支持在线问答。</w:t>
      </w:r>
    </w:p>
    <w:p w14:paraId="461F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D:以上内容线下参会，</w:t>
      </w:r>
      <w:r>
        <w:rPr>
          <w:rFonts w:hint="eastAsia" w:ascii="仿宋" w:hAnsi="仿宋" w:eastAsia="仿宋" w:cs="仿宋"/>
          <w:color w:val="333333"/>
          <w:sz w:val="27"/>
          <w:szCs w:val="27"/>
          <w:shd w:val="clear" w:color="auto" w:fill="FFFFFF"/>
        </w:rPr>
        <w:t>50000元/单位（</w:t>
      </w:r>
      <w:r>
        <w:rPr>
          <w:rFonts w:hint="eastAsia" w:ascii="仿宋" w:hAnsi="仿宋" w:eastAsia="仿宋" w:cs="仿宋"/>
          <w:kern w:val="0"/>
          <w:sz w:val="28"/>
          <w:szCs w:val="28"/>
        </w:rPr>
        <w:t>不限人数，不含会议期间午餐、住宿及结业证书等费用</w:t>
      </w:r>
      <w:r>
        <w:rPr>
          <w:rFonts w:hint="eastAsia" w:ascii="仿宋" w:hAnsi="仿宋" w:eastAsia="仿宋" w:cs="仿宋"/>
          <w:color w:val="333333"/>
          <w:sz w:val="27"/>
          <w:szCs w:val="27"/>
          <w:shd w:val="clear" w:color="auto" w:fill="FFFFFF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。本课程也可以采取定制内容学习、请专家到政府、企业内部培训，40000元/天（含课酬、专家与助教交通费、资料费等），场地由培训单位提供。</w:t>
      </w:r>
      <w:bookmarkEnd w:id="0"/>
    </w:p>
    <w:p w14:paraId="3E5BF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3683635</wp:posOffset>
            </wp:positionH>
            <wp:positionV relativeFrom="paragraph">
              <wp:posOffset>909955</wp:posOffset>
            </wp:positionV>
            <wp:extent cx="2477135" cy="1834515"/>
            <wp:effectExtent l="0" t="0" r="12065" b="6985"/>
            <wp:wrapNone/>
            <wp:docPr id="3" name="图片 3" descr="c3993ef3-1c66-4059-8b72-8b39114cb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993ef3-1c66-4059-8b72-8b39114cbf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参加培训，考试成绩合格颁发证书，2000元/人/项（证书由我会颁发“《商务经理》《成本经理》《造价经理》《项目经理》”。岗位能力证书申报材料：报名表、2寸照片（白底免冠彩照）、身份证正反面、学历证书，以上报名材料均需电子版。</w:t>
      </w:r>
    </w:p>
    <w:p w14:paraId="11FD6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                                              </w:t>
      </w:r>
    </w:p>
    <w:p w14:paraId="2ACD0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76C1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0" w:rightChars="38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报名回执表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</w:t>
      </w:r>
    </w:p>
    <w:p w14:paraId="331BA8A3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5A83978A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345BD639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55FB214B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bookmarkStart w:id="1" w:name="_GoBack"/>
      <w:bookmarkEnd w:id="1"/>
    </w:p>
    <w:p w14:paraId="29214A12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附件：</w:t>
      </w:r>
    </w:p>
    <w:p w14:paraId="15886C3F">
      <w:pPr>
        <w:spacing w:line="520" w:lineRule="exact"/>
        <w:ind w:right="12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《建设工程工程量清单计价标准》(GB/T50500-2024)等十项标准应用解读、合同风险揭示与防范暨建设项目全过程造价管控与审计、财评实操专题培训班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报名回执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表</w:t>
      </w:r>
    </w:p>
    <w:tbl>
      <w:tblPr>
        <w:tblStyle w:val="8"/>
        <w:tblpPr w:leftFromText="180" w:rightFromText="180" w:vertAnchor="text" w:horzAnchor="page" w:tblpXSpec="center" w:tblpY="187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052"/>
        <w:gridCol w:w="1257"/>
        <w:gridCol w:w="1826"/>
        <w:gridCol w:w="17"/>
        <w:gridCol w:w="477"/>
        <w:gridCol w:w="551"/>
        <w:gridCol w:w="776"/>
        <w:gridCol w:w="2014"/>
      </w:tblGrid>
      <w:tr w14:paraId="317C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40" w:type="dxa"/>
            <w:noWrap/>
            <w:vAlign w:val="center"/>
          </w:tcPr>
          <w:p w14:paraId="2DAD6AB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4629" w:type="dxa"/>
            <w:gridSpan w:val="5"/>
            <w:noWrap/>
            <w:vAlign w:val="center"/>
          </w:tcPr>
          <w:p w14:paraId="70E34F9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27" w:type="dxa"/>
            <w:gridSpan w:val="2"/>
            <w:noWrap/>
            <w:vAlign w:val="center"/>
          </w:tcPr>
          <w:p w14:paraId="5B71F3C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    编</w:t>
            </w:r>
          </w:p>
        </w:tc>
        <w:tc>
          <w:tcPr>
            <w:tcW w:w="2014" w:type="dxa"/>
            <w:noWrap/>
            <w:vAlign w:val="center"/>
          </w:tcPr>
          <w:p w14:paraId="3DA30179">
            <w:pPr>
              <w:spacing w:line="360" w:lineRule="exact"/>
              <w:ind w:left="149" w:right="80" w:rightChars="38" w:hanging="148" w:hangingChars="62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A79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40" w:type="dxa"/>
            <w:noWrap/>
            <w:vAlign w:val="center"/>
          </w:tcPr>
          <w:p w14:paraId="0B3EF21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详细地址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08D9E6D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E4E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40" w:type="dxa"/>
            <w:noWrap/>
            <w:vAlign w:val="center"/>
          </w:tcPr>
          <w:p w14:paraId="1F31F9E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4152" w:type="dxa"/>
            <w:gridSpan w:val="4"/>
            <w:noWrap/>
            <w:vAlign w:val="center"/>
          </w:tcPr>
          <w:p w14:paraId="5B4D93D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4A2DBFC0">
            <w:pPr>
              <w:keepNext/>
              <w:spacing w:line="360" w:lineRule="exact"/>
              <w:ind w:right="80" w:rightChars="38"/>
              <w:jc w:val="center"/>
              <w:outlineLvl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  <w:tc>
          <w:tcPr>
            <w:tcW w:w="2014" w:type="dxa"/>
            <w:noWrap/>
            <w:vAlign w:val="center"/>
          </w:tcPr>
          <w:p w14:paraId="5822135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7DB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40" w:type="dxa"/>
            <w:noWrap/>
            <w:vAlign w:val="center"/>
          </w:tcPr>
          <w:p w14:paraId="03B7B7F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    话</w:t>
            </w:r>
          </w:p>
        </w:tc>
        <w:tc>
          <w:tcPr>
            <w:tcW w:w="4152" w:type="dxa"/>
            <w:gridSpan w:val="4"/>
            <w:noWrap/>
            <w:vAlign w:val="center"/>
          </w:tcPr>
          <w:p w14:paraId="3A186DF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563F9FA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传  真</w:t>
            </w:r>
          </w:p>
        </w:tc>
        <w:tc>
          <w:tcPr>
            <w:tcW w:w="2014" w:type="dxa"/>
            <w:noWrap/>
            <w:vAlign w:val="center"/>
          </w:tcPr>
          <w:p w14:paraId="61DBC9D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210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0" w:type="dxa"/>
            <w:noWrap/>
            <w:vAlign w:val="center"/>
          </w:tcPr>
          <w:p w14:paraId="3BBE4B9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  名</w:t>
            </w:r>
          </w:p>
        </w:tc>
        <w:tc>
          <w:tcPr>
            <w:tcW w:w="1052" w:type="dxa"/>
            <w:noWrap/>
            <w:vAlign w:val="center"/>
          </w:tcPr>
          <w:p w14:paraId="0E65E01B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257" w:type="dxa"/>
            <w:noWrap/>
            <w:vAlign w:val="center"/>
          </w:tcPr>
          <w:p w14:paraId="75532AE5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12A19126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</w:t>
            </w:r>
          </w:p>
        </w:tc>
        <w:tc>
          <w:tcPr>
            <w:tcW w:w="1804" w:type="dxa"/>
            <w:gridSpan w:val="3"/>
            <w:noWrap/>
            <w:vAlign w:val="center"/>
          </w:tcPr>
          <w:p w14:paraId="5B4A1F5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2014" w:type="dxa"/>
            <w:noWrap/>
            <w:vAlign w:val="center"/>
          </w:tcPr>
          <w:p w14:paraId="45A04F53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</w:tr>
      <w:tr w14:paraId="22A0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0" w:type="dxa"/>
            <w:noWrap/>
            <w:vAlign w:val="center"/>
          </w:tcPr>
          <w:p w14:paraId="2C1E5A4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237A95B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30CD3B6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4C6BEC2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634F6DE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7939348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EF2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0" w:type="dxa"/>
            <w:noWrap/>
            <w:vAlign w:val="center"/>
          </w:tcPr>
          <w:p w14:paraId="1505A17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40F14F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1A401F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BEBA64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A5724A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4C25BDE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6DE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159FF6A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34C62E5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31EBEE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4336429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13A4585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22DDED2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AFF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1E00A19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94384A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E45DFD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9A9837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27253A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5A4EC59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C68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62C4AB8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2DF5900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0A3D7B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896E8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06F286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436E601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FAA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0" w:type="dxa"/>
            <w:noWrap/>
            <w:vAlign w:val="center"/>
          </w:tcPr>
          <w:p w14:paraId="4D0A02C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418D09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17067A2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E8939C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217B758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185929F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2D7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0" w:type="dxa"/>
            <w:noWrap/>
            <w:vAlign w:val="center"/>
          </w:tcPr>
          <w:p w14:paraId="47296D4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B51C9A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BB2FB5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0C611E5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4D67C8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3373F70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F67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1F25FF7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住宿安排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0FC54EA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□单间    □标间   订房数量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间   □自行安排</w:t>
            </w:r>
          </w:p>
        </w:tc>
      </w:tr>
      <w:tr w14:paraId="526F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6FC6BDD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培训地点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18E6344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长沙市  □哈尔滨市  □厦门市</w:t>
            </w:r>
          </w:p>
        </w:tc>
      </w:tr>
      <w:tr w14:paraId="47E7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40" w:type="dxa"/>
            <w:noWrap/>
            <w:vAlign w:val="center"/>
          </w:tcPr>
          <w:p w14:paraId="1A83BB72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标准选项</w:t>
            </w:r>
          </w:p>
        </w:tc>
        <w:tc>
          <w:tcPr>
            <w:tcW w:w="4135" w:type="dxa"/>
            <w:gridSpan w:val="3"/>
            <w:noWrap/>
          </w:tcPr>
          <w:p w14:paraId="4ABAB2B8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A□3980元     B□5980元</w:t>
            </w:r>
          </w:p>
          <w:p w14:paraId="7767206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C□28000元    D□50000元</w:t>
            </w:r>
          </w:p>
        </w:tc>
        <w:tc>
          <w:tcPr>
            <w:tcW w:w="1045" w:type="dxa"/>
            <w:gridSpan w:val="3"/>
            <w:noWrap/>
          </w:tcPr>
          <w:p w14:paraId="4A53B86F">
            <w:pPr>
              <w:spacing w:line="720" w:lineRule="auto"/>
              <w:ind w:left="241" w:hanging="241" w:hangingChars="1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金  额</w:t>
            </w:r>
          </w:p>
        </w:tc>
        <w:tc>
          <w:tcPr>
            <w:tcW w:w="2790" w:type="dxa"/>
            <w:gridSpan w:val="2"/>
            <w:noWrap/>
          </w:tcPr>
          <w:p w14:paraId="08D7551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971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74076233">
            <w:pPr>
              <w:ind w:right="122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证书申报</w:t>
            </w:r>
          </w:p>
        </w:tc>
        <w:tc>
          <w:tcPr>
            <w:tcW w:w="7970" w:type="dxa"/>
            <w:gridSpan w:val="8"/>
            <w:noWrap/>
          </w:tcPr>
          <w:p w14:paraId="5A4F2601">
            <w:pPr>
              <w:spacing w:line="360" w:lineRule="auto"/>
              <w:ind w:right="122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□商务经理     □成本经理   □造价经理   □项目经理</w:t>
            </w:r>
          </w:p>
        </w:tc>
      </w:tr>
      <w:tr w14:paraId="5C6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40" w:type="dxa"/>
            <w:noWrap/>
            <w:vAlign w:val="center"/>
          </w:tcPr>
          <w:p w14:paraId="0D203CA7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发票类别</w:t>
            </w:r>
          </w:p>
        </w:tc>
        <w:tc>
          <w:tcPr>
            <w:tcW w:w="7970" w:type="dxa"/>
            <w:gridSpan w:val="8"/>
            <w:noWrap/>
          </w:tcPr>
          <w:p w14:paraId="28C3943B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增值税（□普通□专用）发票,开票信息如下：</w:t>
            </w:r>
          </w:p>
          <w:p w14:paraId="721A72CC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 名 称：</w:t>
            </w:r>
          </w:p>
          <w:p w14:paraId="7BB2F45E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税       号：</w:t>
            </w:r>
          </w:p>
          <w:p w14:paraId="1B55A885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地址、 电话：</w:t>
            </w:r>
          </w:p>
          <w:p w14:paraId="402EBF39">
            <w:pPr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开户行、账号：</w:t>
            </w:r>
          </w:p>
        </w:tc>
      </w:tr>
      <w:tr w14:paraId="55FC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40" w:type="dxa"/>
            <w:noWrap/>
            <w:vAlign w:val="center"/>
          </w:tcPr>
          <w:p w14:paraId="05F208F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指定收款账    户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13886F4D">
            <w:pPr>
              <w:spacing w:line="360" w:lineRule="auto"/>
              <w:ind w:right="80" w:rightChars="38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单位名称：北京众兴企培咨询有限公司</w:t>
            </w:r>
          </w:p>
          <w:p w14:paraId="137CF206">
            <w:pPr>
              <w:spacing w:line="360" w:lineRule="auto"/>
              <w:ind w:right="80" w:rightChars="38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开户行：中国工商银行股份有限公司北京龙泉支行</w:t>
            </w:r>
          </w:p>
          <w:p w14:paraId="44FA97F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账  号：0200002009200234085（行号：102100000208)</w:t>
            </w:r>
          </w:p>
        </w:tc>
      </w:tr>
    </w:tbl>
    <w:p w14:paraId="0589A917">
      <w:pPr>
        <w:spacing w:line="360" w:lineRule="auto"/>
        <w:ind w:right="122"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 1、请尽早报名，额满为止。参会报名表复制有效</w:t>
      </w:r>
    </w:p>
    <w:p w14:paraId="033F8EE9">
      <w:pPr>
        <w:ind w:right="122" w:firstLine="1440" w:firstLineChars="6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2、报名负责人：聂红军 主任18211071700（微信）   </w:t>
      </w:r>
    </w:p>
    <w:p w14:paraId="3F632EAB">
      <w:pPr>
        <w:ind w:right="122" w:firstLine="1440" w:firstLineChars="6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电    话：13141289128        邮    箱：zqgphwz@126.com  </w:t>
      </w:r>
    </w:p>
    <w:p w14:paraId="03E0D619">
      <w:pPr>
        <w:ind w:right="122" w:firstLine="1440" w:firstLineChars="600"/>
      </w:pPr>
      <w:r>
        <w:rPr>
          <w:rFonts w:hint="eastAsia" w:ascii="仿宋" w:hAnsi="仿宋" w:eastAsia="仿宋" w:cs="仿宋"/>
          <w:bCs/>
          <w:sz w:val="24"/>
        </w:rPr>
        <w:t xml:space="preserve">qq咨询：3177524020          网    址：http://www.zqgpchina.cn  </w:t>
      </w:r>
    </w:p>
    <w:sectPr>
      <w:footerReference r:id="rId3" w:type="default"/>
      <w:pgSz w:w="11906" w:h="16838"/>
      <w:pgMar w:top="1270" w:right="1133" w:bottom="127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6BD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4AEAC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b5PcUBAACb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n5ijMrDD345eePy68/l9/f2TLJ&#10;03usqOreU10c3rmBlmaOIwUT66ENJn2JD6M8iXu+igtDZDJdWq/W65JSknKzQ/jFw3UfML4HZ1gy&#10;ah7o9bKo4vQR41g6l6Ru1t0prfMLavtPgDDHCOQVmG4nJuPEyYrDfpjo7V1zJnY9rUHNLW09Z/qD&#10;JZXTxsxGmI39ZKSO6G+PkcbI0yXUEYpYJYfeLPOb9istxWM/Vz38U9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Gu2+T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4AEAC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OWEzN2Y5ZGYxYTY2NDAzN2JhMDllZmNiOTE0OTEifQ=="/>
  </w:docVars>
  <w:rsids>
    <w:rsidRoot w:val="52BA4540"/>
    <w:rsid w:val="00000270"/>
    <w:rsid w:val="00150160"/>
    <w:rsid w:val="00157323"/>
    <w:rsid w:val="00213320"/>
    <w:rsid w:val="00387770"/>
    <w:rsid w:val="003F3276"/>
    <w:rsid w:val="003F4806"/>
    <w:rsid w:val="0060459A"/>
    <w:rsid w:val="006C233B"/>
    <w:rsid w:val="007275B0"/>
    <w:rsid w:val="00765308"/>
    <w:rsid w:val="00767CED"/>
    <w:rsid w:val="007D158D"/>
    <w:rsid w:val="00831B5C"/>
    <w:rsid w:val="00877A7D"/>
    <w:rsid w:val="008C6D08"/>
    <w:rsid w:val="00940B8F"/>
    <w:rsid w:val="00971E24"/>
    <w:rsid w:val="00A86AD4"/>
    <w:rsid w:val="00AF5A15"/>
    <w:rsid w:val="00BE744B"/>
    <w:rsid w:val="00C416B2"/>
    <w:rsid w:val="00D01D9C"/>
    <w:rsid w:val="00DE5AA0"/>
    <w:rsid w:val="00E962B7"/>
    <w:rsid w:val="00EF6DD6"/>
    <w:rsid w:val="00EF7B2D"/>
    <w:rsid w:val="00FD14F0"/>
    <w:rsid w:val="02807BD4"/>
    <w:rsid w:val="031C2553"/>
    <w:rsid w:val="04616612"/>
    <w:rsid w:val="062B03BE"/>
    <w:rsid w:val="069854E9"/>
    <w:rsid w:val="06A122E1"/>
    <w:rsid w:val="07247696"/>
    <w:rsid w:val="09000A8C"/>
    <w:rsid w:val="094A296F"/>
    <w:rsid w:val="099C43EE"/>
    <w:rsid w:val="0A4817E5"/>
    <w:rsid w:val="0AA75F99"/>
    <w:rsid w:val="0ABB6432"/>
    <w:rsid w:val="0AF344C3"/>
    <w:rsid w:val="0BEB438E"/>
    <w:rsid w:val="0C1E5DCC"/>
    <w:rsid w:val="0DA01F4C"/>
    <w:rsid w:val="0DB877F3"/>
    <w:rsid w:val="0EA71FE5"/>
    <w:rsid w:val="0FAE0CE2"/>
    <w:rsid w:val="0FBD42BF"/>
    <w:rsid w:val="10F900DB"/>
    <w:rsid w:val="114E1606"/>
    <w:rsid w:val="11521612"/>
    <w:rsid w:val="121512EE"/>
    <w:rsid w:val="12E530F1"/>
    <w:rsid w:val="132105EB"/>
    <w:rsid w:val="133E25B0"/>
    <w:rsid w:val="13692E5D"/>
    <w:rsid w:val="148F32E9"/>
    <w:rsid w:val="15FF7AD6"/>
    <w:rsid w:val="16504596"/>
    <w:rsid w:val="166636FC"/>
    <w:rsid w:val="1674406C"/>
    <w:rsid w:val="169F25B4"/>
    <w:rsid w:val="18085389"/>
    <w:rsid w:val="18E303B5"/>
    <w:rsid w:val="1966404B"/>
    <w:rsid w:val="1A942C5A"/>
    <w:rsid w:val="1B995BCE"/>
    <w:rsid w:val="1BAD5FE6"/>
    <w:rsid w:val="1C4E63EC"/>
    <w:rsid w:val="1D5C7817"/>
    <w:rsid w:val="1E327AC3"/>
    <w:rsid w:val="1E953EB3"/>
    <w:rsid w:val="1EEE0DF0"/>
    <w:rsid w:val="1F70661C"/>
    <w:rsid w:val="200A78E9"/>
    <w:rsid w:val="20677580"/>
    <w:rsid w:val="2142553D"/>
    <w:rsid w:val="21D06ED2"/>
    <w:rsid w:val="22E05EA5"/>
    <w:rsid w:val="238F6508"/>
    <w:rsid w:val="23BB0D6A"/>
    <w:rsid w:val="26202B93"/>
    <w:rsid w:val="26BB3CAD"/>
    <w:rsid w:val="2B41674B"/>
    <w:rsid w:val="2C1300E8"/>
    <w:rsid w:val="2C7F752B"/>
    <w:rsid w:val="2E252C61"/>
    <w:rsid w:val="3182786A"/>
    <w:rsid w:val="31B604B7"/>
    <w:rsid w:val="31E72C6D"/>
    <w:rsid w:val="3281224F"/>
    <w:rsid w:val="336C3D67"/>
    <w:rsid w:val="33997124"/>
    <w:rsid w:val="3588760A"/>
    <w:rsid w:val="35B83942"/>
    <w:rsid w:val="3622399D"/>
    <w:rsid w:val="36266C69"/>
    <w:rsid w:val="3786517C"/>
    <w:rsid w:val="37BF3CB2"/>
    <w:rsid w:val="38EA0422"/>
    <w:rsid w:val="38EA055A"/>
    <w:rsid w:val="3A1319B2"/>
    <w:rsid w:val="3A88267B"/>
    <w:rsid w:val="3A9A47DC"/>
    <w:rsid w:val="3B1304BF"/>
    <w:rsid w:val="3B8F15CF"/>
    <w:rsid w:val="3C4E0A92"/>
    <w:rsid w:val="3D9F343D"/>
    <w:rsid w:val="3DA10D6C"/>
    <w:rsid w:val="3E1066B3"/>
    <w:rsid w:val="3FB13A48"/>
    <w:rsid w:val="412A7D53"/>
    <w:rsid w:val="42B36F75"/>
    <w:rsid w:val="434723A4"/>
    <w:rsid w:val="4515782D"/>
    <w:rsid w:val="45444777"/>
    <w:rsid w:val="4549112E"/>
    <w:rsid w:val="46886753"/>
    <w:rsid w:val="48AF10D5"/>
    <w:rsid w:val="499841C5"/>
    <w:rsid w:val="49D21786"/>
    <w:rsid w:val="49EF5898"/>
    <w:rsid w:val="4A8B72EC"/>
    <w:rsid w:val="4AD93CE9"/>
    <w:rsid w:val="4B5267F6"/>
    <w:rsid w:val="4B6B1A45"/>
    <w:rsid w:val="4D065F7D"/>
    <w:rsid w:val="4D724DE1"/>
    <w:rsid w:val="4E395334"/>
    <w:rsid w:val="4F251D63"/>
    <w:rsid w:val="50406141"/>
    <w:rsid w:val="50D5276F"/>
    <w:rsid w:val="51905188"/>
    <w:rsid w:val="51A27B9B"/>
    <w:rsid w:val="52A37C23"/>
    <w:rsid w:val="52BA4540"/>
    <w:rsid w:val="52E521EE"/>
    <w:rsid w:val="53E47FE9"/>
    <w:rsid w:val="54A61249"/>
    <w:rsid w:val="54EC0A6C"/>
    <w:rsid w:val="553C32C9"/>
    <w:rsid w:val="553C3544"/>
    <w:rsid w:val="55525F8E"/>
    <w:rsid w:val="55D1599B"/>
    <w:rsid w:val="563105E9"/>
    <w:rsid w:val="56595876"/>
    <w:rsid w:val="57056335"/>
    <w:rsid w:val="57B67DC0"/>
    <w:rsid w:val="5A21751A"/>
    <w:rsid w:val="5A242806"/>
    <w:rsid w:val="5C065F82"/>
    <w:rsid w:val="5C1024F3"/>
    <w:rsid w:val="5C2E1A3D"/>
    <w:rsid w:val="5C49715E"/>
    <w:rsid w:val="5CE0556F"/>
    <w:rsid w:val="5D12661A"/>
    <w:rsid w:val="5DD6264D"/>
    <w:rsid w:val="5E8C0937"/>
    <w:rsid w:val="5F8E3126"/>
    <w:rsid w:val="5FD62E3B"/>
    <w:rsid w:val="5FE4523B"/>
    <w:rsid w:val="60940AF0"/>
    <w:rsid w:val="617D6715"/>
    <w:rsid w:val="61915012"/>
    <w:rsid w:val="61FA14C7"/>
    <w:rsid w:val="61FA2997"/>
    <w:rsid w:val="6213077B"/>
    <w:rsid w:val="62D1212E"/>
    <w:rsid w:val="63637DFA"/>
    <w:rsid w:val="648275DD"/>
    <w:rsid w:val="65BC08CD"/>
    <w:rsid w:val="65FF6A0B"/>
    <w:rsid w:val="66124726"/>
    <w:rsid w:val="66500B25"/>
    <w:rsid w:val="668D036F"/>
    <w:rsid w:val="67510AEF"/>
    <w:rsid w:val="683A1934"/>
    <w:rsid w:val="684D4516"/>
    <w:rsid w:val="68B72EDE"/>
    <w:rsid w:val="696D1EDE"/>
    <w:rsid w:val="6ABB5738"/>
    <w:rsid w:val="6BDB3353"/>
    <w:rsid w:val="6C6450ED"/>
    <w:rsid w:val="6D934609"/>
    <w:rsid w:val="70223A22"/>
    <w:rsid w:val="715916C6"/>
    <w:rsid w:val="718A3161"/>
    <w:rsid w:val="71CD72E3"/>
    <w:rsid w:val="729919FD"/>
    <w:rsid w:val="72D541E5"/>
    <w:rsid w:val="731A007D"/>
    <w:rsid w:val="74F80F82"/>
    <w:rsid w:val="750E704A"/>
    <w:rsid w:val="757B3CD3"/>
    <w:rsid w:val="75C534A2"/>
    <w:rsid w:val="75D62561"/>
    <w:rsid w:val="75EB48B6"/>
    <w:rsid w:val="75F02E67"/>
    <w:rsid w:val="77062B32"/>
    <w:rsid w:val="77100891"/>
    <w:rsid w:val="794756F7"/>
    <w:rsid w:val="7A116B86"/>
    <w:rsid w:val="7A484E92"/>
    <w:rsid w:val="7AFC5069"/>
    <w:rsid w:val="7B2745E3"/>
    <w:rsid w:val="7C1B73C2"/>
    <w:rsid w:val="7D284642"/>
    <w:rsid w:val="7D4C1230"/>
    <w:rsid w:val="7D8950E1"/>
    <w:rsid w:val="7E374B3D"/>
    <w:rsid w:val="7FD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firstLine="420" w:firstLineChars="200"/>
    </w:pPr>
    <w:rPr>
      <w:sz w:val="24"/>
    </w:rPr>
  </w:style>
  <w:style w:type="character" w:styleId="10">
    <w:name w:val="Strong"/>
    <w:basedOn w:val="9"/>
    <w:autoRedefine/>
    <w:qFormat/>
    <w:uiPriority w:val="22"/>
    <w:rPr>
      <w:rFonts w:ascii="Times New Roman" w:hAnsi="Times New Roman" w:eastAsia="宋体" w:cs="Times New Roman"/>
      <w:b/>
      <w:bCs/>
    </w:rPr>
  </w:style>
  <w:style w:type="paragraph" w:styleId="11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19E6C-A61F-4847-B4E3-36BBC5027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4055</Words>
  <Characters>4484</Characters>
  <Lines>261</Lines>
  <Paragraphs>263</Paragraphs>
  <TotalTime>7</TotalTime>
  <ScaleCrop>false</ScaleCrop>
  <LinksUpToDate>false</LinksUpToDate>
  <CharactersWithSpaces>4606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2025-01-15T09:03:00Z</dcterms:created>
  <dc:creator>姣 儿</dc:creator>
  <cp:lastModifiedBy>聂红军</cp:lastModifiedBy>
  <dcterms:modified xsi:type="dcterms:W3CDTF">2025-11-27T00:48:42Z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CDC08AB0D9BD4CE9A54334768B3E3897_13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