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555D">
      <w:pPr>
        <w:jc w:val="center"/>
        <w:rPr>
          <w:color w:val="FF0000"/>
          <w:spacing w:val="-57"/>
          <w:sz w:val="72"/>
          <w:szCs w:val="72"/>
        </w:rPr>
      </w:pPr>
      <w:r>
        <w:rPr>
          <w:b/>
          <w:bCs/>
          <w:color w:val="FF0000"/>
          <w:spacing w:val="-57"/>
          <w:sz w:val="72"/>
          <w:szCs w:val="72"/>
        </w:rPr>
        <w:t>北京建术信息科技研究院有限公司</w:t>
      </w:r>
    </w:p>
    <w:p w14:paraId="3EA7227C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377190</wp:posOffset>
                </wp:positionV>
                <wp:extent cx="6553835" cy="0"/>
                <wp:effectExtent l="0" t="9525" r="1206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1410" y="1794510"/>
                          <a:ext cx="65538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85pt;margin-top:29.7pt;height:0pt;width:516.05pt;z-index:251659264;mso-width-relative:page;mso-height-relative:page;" filled="f" stroked="t" coordsize="21600,21600" o:gfxdata="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rtalb1QAAAAoBAAAPAAAAAAAAAAEAIAAAACIAAABkcnMvZG93bnJldi54bWxQSwECFAAU&#10;AAAACACHTuJAJoZ9YPQBAAC+AwAADgAAAAAAAAABACAAAAAkAQAAZHJzL2Uyb0RvYy54bWxQSwUG&#10;AAAAAAYABgBZAQAAig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建术信息202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69</w:t>
      </w:r>
      <w:r>
        <w:rPr>
          <w:rFonts w:hint="eastAsia" w:ascii="仿宋" w:hAnsi="仿宋" w:eastAsia="仿宋" w:cs="仿宋"/>
          <w:sz w:val="28"/>
          <w:szCs w:val="28"/>
        </w:rPr>
        <w:t>】号</w:t>
      </w:r>
    </w:p>
    <w:p w14:paraId="7FF1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关于举办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2024版《建设工程工程量清单计价标准》的核心变化与关键条款、竣工决算与审计实务操作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培训班的通知</w:t>
      </w:r>
    </w:p>
    <w:p w14:paraId="4B6CA46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7"/>
          <w:rFonts w:hint="eastAsia" w:ascii="仿宋" w:hAnsi="仿宋" w:eastAsia="仿宋" w:cs="仿宋"/>
          <w:color w:val="3E3E3E"/>
          <w:sz w:val="24"/>
          <w:szCs w:val="24"/>
        </w:rPr>
      </w:pPr>
    </w:p>
    <w:p w14:paraId="3F0F4FA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E3E3E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bCs/>
          <w:color w:val="3E3E3E"/>
          <w:sz w:val="24"/>
          <w:szCs w:val="24"/>
        </w:rPr>
        <w:t>各有关单位：</w:t>
      </w:r>
    </w:p>
    <w:p w14:paraId="353FB787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2024版《建设工程工程量清单计价标准》已正式实施，为帮助工程从业人员快速掌握新规、应对实务挑战，本课程将深度解析新标准的核心变化与关键条款，并系统贯穿竣工决算编制与工程审计应对两大关键环节。课程内容全面覆盖从清单计价、价款调整、到结算决算区别、审计核心要点等全流程，结构上按“基础-应用-风控”逻辑递进，通过大量案例详解实操中的重点、难点与风险防控策略，注重提升学员的实际应用能力，助力企业实现造价精细化管理、有效规避风险并提升投资效益。现将有关事项通知如下：</w:t>
      </w:r>
    </w:p>
    <w:p w14:paraId="5EF5A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一、培训内容</w:t>
      </w:r>
    </w:p>
    <w:p w14:paraId="104E8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​第一部分：新标准深度解读与清单计价实操攻坚​ </w:t>
      </w:r>
    </w:p>
    <w:p w14:paraId="30758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本部分主题：夯实基础，精准计价——掌握2024清单新规核心精髓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4A9B6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模块一：2024版《建设工程工程量清单计价标准》宏观解读与总体架构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45C04B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开篇导引：</w:t>
      </w:r>
      <w:r>
        <w:rPr>
          <w:rFonts w:hint="eastAsia" w:ascii="仿宋" w:hAnsi="仿宋" w:eastAsia="仿宋" w:cs="仿宋"/>
          <w:sz w:val="24"/>
          <w:szCs w:val="24"/>
        </w:rPr>
        <w:t>新标准修订的背景、目的及其对行业产生的深远影响。</w:t>
      </w:r>
    </w:p>
    <w:p w14:paraId="7D29E8F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核心原则剖析：</w:t>
      </w:r>
      <w:r>
        <w:rPr>
          <w:rFonts w:hint="eastAsia" w:ascii="仿宋" w:hAnsi="仿宋" w:eastAsia="仿宋" w:cs="仿宋"/>
          <w:sz w:val="24"/>
          <w:szCs w:val="24"/>
        </w:rPr>
        <w:t>深入讲解新标准重申的“公平、公正、共享风险”等基本原则在实际应用中的体现。</w:t>
      </w:r>
    </w:p>
    <w:p w14:paraId="4BDA59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总体结构对比分析：</w:t>
      </w:r>
      <w:r>
        <w:rPr>
          <w:rFonts w:hint="eastAsia" w:ascii="仿宋" w:hAnsi="仿宋" w:eastAsia="仿宋" w:cs="仿宋"/>
          <w:sz w:val="24"/>
          <w:szCs w:val="24"/>
        </w:rPr>
        <w:t>对比2013版规范，梳理2024版标准在结构、章节上的重大调整与优化。</w:t>
      </w:r>
    </w:p>
    <w:p w14:paraId="1298A4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“价格风险共担”机制深化：</w:t>
      </w:r>
      <w:r>
        <w:rPr>
          <w:rFonts w:hint="eastAsia" w:ascii="仿宋" w:hAnsi="仿宋" w:eastAsia="仿宋" w:cs="仿宋"/>
          <w:sz w:val="24"/>
          <w:szCs w:val="24"/>
        </w:rPr>
        <w:t>重点解析新版在材料价格波动风险分担、工期延误费用计算等方面的细化规定与应对策略。</w:t>
      </w:r>
    </w:p>
    <w:p w14:paraId="0A2EE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模块二：新标准核心条款深度解析与实操应用（上）​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439C7B4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工程量清单编制关键点：​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6533683A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项目划分新规则：详解项目特征描述的要求，避免模糊表述引发的结算争议。</w:t>
      </w:r>
    </w:p>
    <w:p w14:paraId="003273CF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工程量计算规则变化：聚焦土方、钢筋、模板等易错、易漏项目的计算新规。</w:t>
      </w:r>
    </w:p>
    <w:p w14:paraId="2A916D8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招标控制价与投标报价新要求：​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282440D2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招标控制价的编制依据与合理性分析，如何避免“高价”或“低价”风险。</w:t>
      </w:r>
    </w:p>
    <w:p w14:paraId="11D7798E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投标报价的策略调整，针对新标准下的不平衡报价风险与防范。</w:t>
      </w:r>
    </w:p>
    <w:p w14:paraId="125EF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05FF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​第二部分：价款调整、竣工结算与决算编制实务​ </w:t>
      </w:r>
    </w:p>
    <w:p w14:paraId="5CF91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本部分主题：过程控制，完美收官——精通期中付款至竣工决算全流程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21A6C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模块三：新标准核心条款深度解析与实操应用（下）​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1529EAC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合同价款约定与期中支付：​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0421CA57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新形势下合同价格形式的选择与条款设计要点。</w:t>
      </w:r>
    </w:p>
    <w:p w14:paraId="1F5C157E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工程预付款、进度款支付流程的规范化要求，重点讲解工程量确认与支付申请。</w:t>
      </w:r>
    </w:p>
    <w:p w14:paraId="2AB14AD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合同价款调整的十三项情形深度剖析：​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6E91835B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法律变化、工程变更、项目特征不符、工程量清单缺项、工程量偏差。</w:t>
      </w:r>
    </w:p>
    <w:p w14:paraId="5F69250E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物价变化、暂估价、计日工、现场签证、施工索赔、不可抗力、提前竣工（赶工补偿）、误期赔偿。</w:t>
      </w:r>
    </w:p>
    <w:p w14:paraId="5FBF729C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针对每一项情形，结合案例讲解调整的依据、计算方法和程序。</w:t>
      </w:r>
    </w:p>
    <w:p w14:paraId="6C9C0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模块四：竣工结算与竣工决算的编制与审核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39BFBEF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竣工结算编制实务：​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0C0E2283"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竣工结算的依据和文件组成，如何系统整理结算资料。</w:t>
      </w:r>
    </w:p>
    <w:p w14:paraId="154EBD15"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竣工结算的编制方法、流程与注意事项，确保结算书的完整性与准确性。</w:t>
      </w:r>
    </w:p>
    <w:p w14:paraId="08B878A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竣工决算全面解析：​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27F9E7C7"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厘清概念：竣工结算（施工单位编制）与竣工决算（建设单位编制）的本质区别与联系。</w:t>
      </w:r>
    </w:p>
    <w:p w14:paraId="393D84DA"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竣工决算的内容体系：详解竣工财务决算说明书、竣工财务决算报表、工程造价分析等核心内容。</w:t>
      </w:r>
    </w:p>
    <w:p w14:paraId="081E6495"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竣工决算的编制流程：从资产清查、账务处理到报表编制的全流程指导。</w:t>
      </w:r>
    </w:p>
    <w:p w14:paraId="11056340">
      <w:pPr>
        <w:keepNext w:val="0"/>
        <w:keepLines w:val="0"/>
        <w:pageBreakBefore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新增固定资产价值的确定方法。</w:t>
      </w:r>
    </w:p>
    <w:p w14:paraId="16BD4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25C3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部分：工程审计核心要点与全过程风险防控​ </w:t>
      </w:r>
    </w:p>
    <w:p w14:paraId="543A6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本部分主题：洞察风险，从容应对——提升审计应对与合规管理能力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3CF8C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：建设工程项目审计核心内容与常见问题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73A3618F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工程审计概述：</w:t>
      </w:r>
      <w:r>
        <w:rPr>
          <w:rFonts w:hint="eastAsia" w:ascii="仿宋" w:hAnsi="仿宋" w:eastAsia="仿宋" w:cs="仿宋"/>
          <w:sz w:val="24"/>
          <w:szCs w:val="24"/>
        </w:rPr>
        <w:t>审计的类型（政府审计、社会审计、内部审计）、审计的依据、程序与方法。</w:t>
      </w:r>
    </w:p>
    <w:p w14:paraId="652A5CD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审计重点关注领域深度剖析：​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72389FB7">
      <w:pPr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投资决策与设计阶段审计：</w:t>
      </w:r>
      <w:r>
        <w:rPr>
          <w:rFonts w:hint="eastAsia" w:ascii="仿宋" w:hAnsi="仿宋" w:eastAsia="仿宋" w:cs="仿宋"/>
          <w:sz w:val="24"/>
          <w:szCs w:val="24"/>
        </w:rPr>
        <w:t>立项程序、设计概算的合规性与合理性。</w:t>
      </w:r>
    </w:p>
    <w:p w14:paraId="5FB5AE3E">
      <w:pPr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招标投标审计：</w:t>
      </w:r>
      <w:r>
        <w:rPr>
          <w:rFonts w:hint="eastAsia" w:ascii="仿宋" w:hAnsi="仿宋" w:eastAsia="仿宋" w:cs="仿宋"/>
          <w:sz w:val="24"/>
          <w:szCs w:val="24"/>
        </w:rPr>
        <w:t>招标文件的合法性、投标程序的规范性、合同签订的合规性。</w:t>
      </w:r>
    </w:p>
    <w:p w14:paraId="2E2F30AA">
      <w:pPr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施工过程审计：</w:t>
      </w:r>
      <w:r>
        <w:rPr>
          <w:rFonts w:hint="eastAsia" w:ascii="仿宋" w:hAnsi="仿宋" w:eastAsia="仿宋" w:cs="仿宋"/>
          <w:sz w:val="24"/>
          <w:szCs w:val="24"/>
        </w:rPr>
        <w:t>工程变更与现场签证的真实性、合理性审计；材料设备采购与管理审计。</w:t>
      </w:r>
    </w:p>
    <w:p w14:paraId="69BA5185">
      <w:pPr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竣工结算审计（核心）：</w:t>
      </w:r>
      <w:r>
        <w:rPr>
          <w:rFonts w:hint="eastAsia" w:ascii="仿宋" w:hAnsi="仿宋" w:eastAsia="仿宋" w:cs="仿宋"/>
          <w:sz w:val="24"/>
          <w:szCs w:val="24"/>
        </w:rPr>
        <w:t>全面审计、重点审计、对比审计等方法的应用；工程量计算准确性审计；综合单价、措施项目费、其他项目费、规费税金计取的合规性审计。</w:t>
      </w:r>
    </w:p>
    <w:p w14:paraId="6F52D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：审计应对策略、争议解决与课程总提升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6D739530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高效应对审计的策略与技巧：​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60B6EA26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审计前的准备工作：如何系统、规范地整理送审资料。</w:t>
      </w:r>
    </w:p>
    <w:p w14:paraId="7BA9D89F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审计过程中的沟通技巧：如何有理有据地与审计人员进行专业沟通和问题澄清。</w:t>
      </w:r>
    </w:p>
    <w:p w14:paraId="1DD464CD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审计意见的反馈与谈判：对初审意见书的复核、异议提出与谈判策略。</w:t>
      </w:r>
    </w:p>
    <w:p w14:paraId="412F65C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工程造价争议的化解路径：​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37C72DDF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争议的常见类型与成因分析。</w:t>
      </w:r>
    </w:p>
    <w:p w14:paraId="7F704DD9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多元化解决机制：协商、调解、评审、仲裁与诉讼的适用条件与优劣比较。</w:t>
      </w:r>
    </w:p>
    <w:p w14:paraId="4D1DA8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0" w:lef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00C6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​第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部分：聚焦“管控”与“履约”——造价形成过程的核心环节解析​</w:t>
      </w:r>
    </w:p>
    <w:p w14:paraId="3775C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模块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：项目源头管控——招投标与合同签订阶段造价疑难问题深度解析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3C6D6152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：招投标阶段的造价合规性审查与风险防范</w:t>
      </w:r>
    </w:p>
    <w:p w14:paraId="4B3B6546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核心问题剖析：</w:t>
      </w:r>
      <w:r>
        <w:rPr>
          <w:rFonts w:hint="eastAsia" w:ascii="仿宋" w:hAnsi="仿宋" w:eastAsia="仿宋" w:cs="仿宋"/>
          <w:sz w:val="24"/>
          <w:szCs w:val="24"/>
        </w:rPr>
        <w:t>结合财政评审职责，重点分析招标文件的合规性审查要点。</w:t>
      </w:r>
    </w:p>
    <w:p w14:paraId="40A90A24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清单问题处理：</w:t>
      </w:r>
      <w:r>
        <w:rPr>
          <w:rFonts w:hint="eastAsia" w:ascii="仿宋" w:hAnsi="仿宋" w:eastAsia="仿宋" w:cs="仿宋"/>
          <w:sz w:val="24"/>
          <w:szCs w:val="24"/>
        </w:rPr>
        <w:t>工程量清单错项、漏项、缺项、特征描述不清（如“见设计图纸”）等问题的法律责任界定与结算处理原则。措施项目漏项是否可计取？</w:t>
      </w:r>
    </w:p>
    <w:p w14:paraId="2FF6ED82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暂估价与暂列金额：</w:t>
      </w:r>
      <w:r>
        <w:rPr>
          <w:rFonts w:hint="eastAsia" w:ascii="仿宋" w:hAnsi="仿宋" w:eastAsia="仿宋" w:cs="仿宋"/>
          <w:sz w:val="24"/>
          <w:szCs w:val="24"/>
        </w:rPr>
        <w:t>暂估价项目的招标方式（公开 vs. 邀请）争议处理、多次招标价差过大的解决路径。暂列金额在评审中的计取原则与比例确定。</w:t>
      </w:r>
    </w:p>
    <w:p w14:paraId="2F025351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不平衡报价的识别与应对：</w:t>
      </w:r>
      <w:r>
        <w:rPr>
          <w:rFonts w:hint="eastAsia" w:ascii="仿宋" w:hAnsi="仿宋" w:eastAsia="仿宋" w:cs="仿宋"/>
          <w:sz w:val="24"/>
          <w:szCs w:val="24"/>
        </w:rPr>
        <w:t>如何在前端评审中识别不平衡报价？其法律效力如何？对于图纸错误、0元项、人工消耗量不平衡等情形，在结算审计时应如何依法依规处理？</w:t>
      </w:r>
    </w:p>
    <w:p w14:paraId="07432205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招标控制价（最高限价）评审：</w:t>
      </w:r>
      <w:r>
        <w:rPr>
          <w:rFonts w:hint="eastAsia" w:ascii="仿宋" w:hAnsi="仿宋" w:eastAsia="仿宋" w:cs="仿宋"/>
          <w:sz w:val="24"/>
          <w:szCs w:val="24"/>
        </w:rPr>
        <w:t>控制价编制时间早、材料上涨、编制漏项等问题的处理机制与手续履行。</w:t>
      </w:r>
    </w:p>
    <w:p w14:paraId="357CDA41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案例研讨：</w:t>
      </w:r>
      <w:r>
        <w:rPr>
          <w:rFonts w:hint="eastAsia" w:ascii="仿宋" w:hAnsi="仿宋" w:eastAsia="仿宋" w:cs="仿宋"/>
          <w:sz w:val="24"/>
          <w:szCs w:val="24"/>
        </w:rPr>
        <w:t>某公共设施项目因清单严重漏项引发巨额索赔的审计案例分析。</w:t>
      </w:r>
    </w:p>
    <w:p w14:paraId="11CDD18C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第二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：合同签订阶段的风险锁定与条款博弈</w:t>
      </w:r>
    </w:p>
    <w:p w14:paraId="1FECAAD9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合同类型与风险分担：</w:t>
      </w:r>
      <w:r>
        <w:rPr>
          <w:rFonts w:hint="eastAsia" w:ascii="仿宋" w:hAnsi="仿宋" w:eastAsia="仿宋" w:cs="仿宋"/>
          <w:sz w:val="24"/>
          <w:szCs w:val="24"/>
        </w:rPr>
        <w:t>固定总价、固定单价合同的风险范围界定。合同约定“一切风险包干”、“变更不调措施费”等极端条款的合法性与合理性分析，财政评审应如何对待？</w:t>
      </w:r>
    </w:p>
    <w:p w14:paraId="55630925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“黑白合同”的认定与处理：</w:t>
      </w:r>
      <w:r>
        <w:rPr>
          <w:rFonts w:hint="eastAsia" w:ascii="仿宋" w:hAnsi="仿宋" w:eastAsia="仿宋" w:cs="仿宋"/>
          <w:sz w:val="24"/>
          <w:szCs w:val="24"/>
        </w:rPr>
        <w:t>施工合同与中标实质性条款不一致（即“黑白合同”）的认定标准及其对结算审计的影响。</w:t>
      </w:r>
    </w:p>
    <w:p w14:paraId="5362A0C4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风险范围与调价机制：</w:t>
      </w:r>
      <w:r>
        <w:rPr>
          <w:rFonts w:hint="eastAsia" w:ascii="仿宋" w:hAnsi="仿宋" w:eastAsia="仿宋" w:cs="仿宋"/>
          <w:sz w:val="24"/>
          <w:szCs w:val="24"/>
        </w:rPr>
        <w:t>材料价差调差的风险幅度、计算方式、数量确认、税金计取等关键条款的评审要点。风险范围是否包括设计变更？</w:t>
      </w:r>
    </w:p>
    <w:p w14:paraId="09BE4E42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合同文件冲突解释规则：</w:t>
      </w:r>
      <w:r>
        <w:rPr>
          <w:rFonts w:hint="eastAsia" w:ascii="仿宋" w:hAnsi="仿宋" w:eastAsia="仿宋" w:cs="仿宋"/>
          <w:sz w:val="24"/>
          <w:szCs w:val="24"/>
        </w:rPr>
        <w:t>协议书、专用条款、投标文件等出现矛盾时，以何为准？财政评审的依据选择。</w:t>
      </w:r>
    </w:p>
    <w:p w14:paraId="64CCDF4A">
      <w:pPr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案例研讨：</w:t>
      </w:r>
      <w:r>
        <w:rPr>
          <w:rFonts w:hint="eastAsia" w:ascii="仿宋" w:hAnsi="仿宋" w:eastAsia="仿宋" w:cs="仿宋"/>
          <w:sz w:val="24"/>
          <w:szCs w:val="24"/>
        </w:rPr>
        <w:t>分析一份存在多处条款冲突的施工合同，引导学员找出结算争议隐患并提出评审意见。</w:t>
      </w:r>
    </w:p>
    <w:p w14:paraId="229F0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：过程动态管控——履约阶段造价争议处理与证据固定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4999739E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：工程变更与现场签证的合规性审核</w:t>
      </w:r>
    </w:p>
    <w:p w14:paraId="1EF5488C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变更指令的合规性：</w:t>
      </w:r>
      <w:r>
        <w:rPr>
          <w:rFonts w:hint="eastAsia" w:ascii="仿宋" w:hAnsi="仿宋" w:eastAsia="仿宋" w:cs="仿宋"/>
          <w:sz w:val="24"/>
          <w:szCs w:val="24"/>
        </w:rPr>
        <w:t>设计变更、技术参数调整、甲方指令等变更来源的权限与程序审核。是否履行了必要的审批流程？</w:t>
      </w:r>
    </w:p>
    <w:p w14:paraId="42ECD5A9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变更计价原则：</w:t>
      </w:r>
      <w:r>
        <w:rPr>
          <w:rFonts w:hint="eastAsia" w:ascii="仿宋" w:hAnsi="仿宋" w:eastAsia="仿宋" w:cs="仿宋"/>
          <w:sz w:val="24"/>
          <w:szCs w:val="24"/>
        </w:rPr>
        <w:t>合同中未约定或约定不明时，变更单价如何确定？是否受清单规范15%约束？相同特征清单单价有高有低时如何选取？</w:t>
      </w:r>
    </w:p>
    <w:p w14:paraId="12CD9415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措施项目调整：</w:t>
      </w:r>
      <w:r>
        <w:rPr>
          <w:rFonts w:hint="eastAsia" w:ascii="仿宋" w:hAnsi="仿宋" w:eastAsia="仿宋" w:cs="仿宋"/>
          <w:sz w:val="24"/>
          <w:szCs w:val="24"/>
        </w:rPr>
        <w:t>按“项”包干的措施费，在何种情况下可以按实调整？因变更导致措施方案重大变化时的费用处理。</w:t>
      </w:r>
    </w:p>
    <w:p w14:paraId="73B69B61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现场签证的审计要点：</w:t>
      </w:r>
      <w:r>
        <w:rPr>
          <w:rFonts w:hint="eastAsia" w:ascii="仿宋" w:hAnsi="仿宋" w:eastAsia="仿宋" w:cs="仿宋"/>
          <w:sz w:val="24"/>
          <w:szCs w:val="24"/>
        </w:rPr>
        <w:t>签证的真实性、必要性、关联性审核。监理签字盖章的效力认定（是监理单位还是项目部章？）。未经财评的现场签证能否进入结算？</w:t>
      </w:r>
    </w:p>
    <w:p w14:paraId="3F73C975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案例研讨：</w:t>
      </w:r>
      <w:r>
        <w:rPr>
          <w:rFonts w:hint="eastAsia" w:ascii="仿宋" w:hAnsi="仿宋" w:eastAsia="仿宋" w:cs="仿宋"/>
          <w:sz w:val="24"/>
          <w:szCs w:val="24"/>
        </w:rPr>
        <w:t>某项目通过虚假签证套取建设资金的审计案例分享。</w:t>
      </w:r>
    </w:p>
    <w:p w14:paraId="580452A9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第二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：索赔与不可抗力的费用处理 </w:t>
      </w:r>
    </w:p>
    <w:p w14:paraId="38E41056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工期延误与费用索赔：</w:t>
      </w:r>
      <w:r>
        <w:rPr>
          <w:rFonts w:hint="eastAsia" w:ascii="仿宋" w:hAnsi="仿宋" w:eastAsia="仿宋" w:cs="仿宋"/>
          <w:sz w:val="24"/>
          <w:szCs w:val="24"/>
        </w:rPr>
        <w:t>甲方原因停工、征地影响、居民阻工等引起的停窝工损失、降效费用、机械租赁费的索赔依据审核与计算标准。</w:t>
      </w:r>
    </w:p>
    <w:p w14:paraId="20537F26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不可抗力事件：</w:t>
      </w:r>
      <w:r>
        <w:rPr>
          <w:rFonts w:hint="eastAsia" w:ascii="仿宋" w:hAnsi="仿宋" w:eastAsia="仿宋" w:cs="仿宋"/>
          <w:sz w:val="24"/>
          <w:szCs w:val="24"/>
        </w:rPr>
        <w:t>不可抗力的认定及费用承担原则（工程本身损害、施工设备损毁、清理修复费用等）。</w:t>
      </w:r>
    </w:p>
    <w:p w14:paraId="3E41885B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疫情等特殊事件：</w:t>
      </w:r>
      <w:r>
        <w:rPr>
          <w:rFonts w:hint="eastAsia" w:ascii="仿宋" w:hAnsi="仿宋" w:eastAsia="仿宋" w:cs="仿宋"/>
          <w:sz w:val="24"/>
          <w:szCs w:val="24"/>
        </w:rPr>
        <w:t>人工、材料价格上涨是否属于不可抗力？相关政策性文件的解读与费用处理指引。</w:t>
      </w:r>
    </w:p>
    <w:p w14:paraId="7318E3B2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第三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：过程支付与中期评审关注点</w:t>
      </w:r>
    </w:p>
    <w:p w14:paraId="1CE41F4C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进度款支付审核：</w:t>
      </w:r>
      <w:r>
        <w:rPr>
          <w:rFonts w:hint="eastAsia" w:ascii="仿宋" w:hAnsi="仿宋" w:eastAsia="仿宋" w:cs="仿宋"/>
          <w:sz w:val="24"/>
          <w:szCs w:val="24"/>
        </w:rPr>
        <w:t>合同约定支付至85%停止付款，是否包含变更签证部分？超付风险的防范。</w:t>
      </w:r>
    </w:p>
    <w:p w14:paraId="7691755B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甲供材与设备管理：</w:t>
      </w:r>
      <w:r>
        <w:rPr>
          <w:rFonts w:hint="eastAsia" w:ascii="仿宋" w:hAnsi="仿宋" w:eastAsia="仿宋" w:cs="仿宋"/>
          <w:sz w:val="24"/>
          <w:szCs w:val="24"/>
        </w:rPr>
        <w:t>甲供材数量核对、扣除时间（税前/税后）、损耗率的计算与审核。</w:t>
      </w:r>
    </w:p>
    <w:p w14:paraId="2DFF1680">
      <w:pPr>
        <w:keepNext w:val="0"/>
        <w:keepLines w:val="0"/>
        <w:pageBreakBefore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财政评审的中期介入：</w:t>
      </w:r>
      <w:r>
        <w:rPr>
          <w:rFonts w:hint="eastAsia" w:ascii="仿宋" w:hAnsi="仿宋" w:eastAsia="仿宋" w:cs="仿宋"/>
          <w:sz w:val="24"/>
          <w:szCs w:val="24"/>
        </w:rPr>
        <w:t>对重大变更、材料认价、过程索赔等事项进行中期跟踪评审的要点与价值。</w:t>
      </w:r>
    </w:p>
    <w:p w14:paraId="2E0EF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​第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部分：聚焦“审计”与“争议”——结算定案与评审实务攻坚​</w:t>
      </w:r>
    </w:p>
    <w:p w14:paraId="0F3CC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：定案关键环节——竣工结算阶段常见疑难问题审计策略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290845B9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：结算编制依据与原则的审计</w:t>
      </w:r>
    </w:p>
    <w:p w14:paraId="3D679B5B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结算方式确定：</w:t>
      </w:r>
      <w:r>
        <w:rPr>
          <w:rFonts w:hint="eastAsia" w:ascii="仿宋" w:hAnsi="仿宋" w:eastAsia="仿宋" w:cs="仿宋"/>
          <w:sz w:val="24"/>
          <w:szCs w:val="24"/>
        </w:rPr>
        <w:t>总价合同、单价合同在不同情形下（如图纸量少于招标量、工程未完工、项目取消）的结算原则。能否按竣工图结算？</w:t>
      </w:r>
    </w:p>
    <w:p w14:paraId="4ABFC108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无清单、无特征项目的结算：</w:t>
      </w:r>
      <w:r>
        <w:rPr>
          <w:rFonts w:hint="eastAsia" w:ascii="仿宋" w:hAnsi="仿宋" w:eastAsia="仿宋" w:cs="仿宋"/>
          <w:sz w:val="24"/>
          <w:szCs w:val="24"/>
        </w:rPr>
        <w:t>只有一笔费用的“项”如何审核？能否据实结算？</w:t>
      </w:r>
    </w:p>
    <w:p w14:paraId="395D3AFB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合同解除与终止的结算：</w:t>
      </w:r>
      <w:r>
        <w:rPr>
          <w:rFonts w:hint="eastAsia" w:ascii="仿宋" w:hAnsi="仿宋" w:eastAsia="仿宋" w:cs="仿宋"/>
          <w:sz w:val="24"/>
          <w:szCs w:val="24"/>
        </w:rPr>
        <w:t>合同解除后，已完成工程如何计价？（按固定总价参照？按定额？）解约引发的退场、采购违约等损失如何合理核定？</w:t>
      </w:r>
    </w:p>
    <w:p w14:paraId="48AC7850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红线外工程费用：</w:t>
      </w:r>
      <w:r>
        <w:rPr>
          <w:rFonts w:hint="eastAsia" w:ascii="仿宋" w:hAnsi="仿宋" w:eastAsia="仿宋" w:cs="仿宋"/>
          <w:sz w:val="24"/>
          <w:szCs w:val="24"/>
        </w:rPr>
        <w:t>为项目配套的红线外内容费用处理原则。</w:t>
      </w:r>
    </w:p>
    <w:p w14:paraId="1B9079B2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：结算审计中的重点技术问题处理</w:t>
      </w:r>
    </w:p>
    <w:p w14:paraId="109952F8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材料价格争议：</w:t>
      </w:r>
      <w:r>
        <w:rPr>
          <w:rFonts w:hint="eastAsia" w:ascii="仿宋" w:hAnsi="仿宋" w:eastAsia="仿宋" w:cs="仿宋"/>
          <w:sz w:val="24"/>
          <w:szCs w:val="24"/>
        </w:rPr>
        <w:t>信息价、市场价、购买发票价（“认价”性质）在审计中的采信原则与应用场景。审计能否推翻双方已认价？</w:t>
      </w:r>
    </w:p>
    <w:p w14:paraId="6510BB80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不平衡报价的结算处理：</w:t>
      </w:r>
      <w:r>
        <w:rPr>
          <w:rFonts w:hint="eastAsia" w:ascii="仿宋" w:hAnsi="仿宋" w:eastAsia="仿宋" w:cs="仿宋"/>
          <w:sz w:val="24"/>
          <w:szCs w:val="24"/>
        </w:rPr>
        <w:t>审计能否要求对不平衡报价部分重新组价？法律与实践中的处理边界。</w:t>
      </w:r>
    </w:p>
    <w:p w14:paraId="4DF5FB4F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措施项目结算：</w:t>
      </w:r>
      <w:r>
        <w:rPr>
          <w:rFonts w:hint="eastAsia" w:ascii="仿宋" w:hAnsi="仿宋" w:eastAsia="仿宋" w:cs="仿宋"/>
          <w:sz w:val="24"/>
          <w:szCs w:val="24"/>
        </w:rPr>
        <w:t>脚手架、垂运费、安全文明施工费等在中途退场或未完工项目中的计取原则。</w:t>
      </w:r>
    </w:p>
    <w:p w14:paraId="70B6EF6C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案例研讨：</w:t>
      </w:r>
      <w:r>
        <w:rPr>
          <w:rFonts w:hint="eastAsia" w:ascii="仿宋" w:hAnsi="仿宋" w:eastAsia="仿宋" w:cs="仿宋"/>
          <w:sz w:val="24"/>
          <w:szCs w:val="24"/>
        </w:rPr>
        <w:t>对一份承包方报送的包含多项上述疑难问题的结算书进行模拟审计，分组讨论并给出审核意见。</w:t>
      </w:r>
    </w:p>
    <w:p w14:paraId="350BE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模块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：职能履行核心——财政评审业务实操与争议解决权威路径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24B8A333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：财政评审的权力边界与业务实操指南</w:t>
      </w:r>
    </w:p>
    <w:p w14:paraId="5A599406">
      <w:pPr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评审权与合同效力的关系：</w:t>
      </w:r>
      <w:r>
        <w:rPr>
          <w:rFonts w:hint="eastAsia" w:ascii="仿宋" w:hAnsi="仿宋" w:eastAsia="仿宋" w:cs="仿宋"/>
          <w:sz w:val="24"/>
          <w:szCs w:val="24"/>
        </w:rPr>
        <w:t>审计方能否修改合同单价和总价？ “审计结论是否自然成为结算依据”？对“以审计结果为最终结算依据”条款的效力分析。</w:t>
      </w:r>
    </w:p>
    <w:p w14:paraId="3990825F">
      <w:pPr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评审实务疑难解答：​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77E64855">
      <w:pPr>
        <w:keepNext w:val="0"/>
        <w:keepLines w:val="0"/>
        <w:pageBreakBefore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结算超中标价30%以上的处理方式与补充协议合规性审查。</w:t>
      </w:r>
    </w:p>
    <w:p w14:paraId="5871CC34">
      <w:pPr>
        <w:keepNext w:val="0"/>
        <w:keepLines w:val="0"/>
        <w:pageBreakBefore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对报送招标控制价及结算中缺项、漏项的处理方法。</w:t>
      </w:r>
    </w:p>
    <w:p w14:paraId="20B3D350">
      <w:pPr>
        <w:keepNext w:val="0"/>
        <w:keepLines w:val="0"/>
        <w:pageBreakBefore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结算资料不完整、报送漏项的处理规则与依据。</w:t>
      </w:r>
    </w:p>
    <w:p w14:paraId="2DBE7789">
      <w:pPr>
        <w:keepNext w:val="0"/>
        <w:keepLines w:val="0"/>
        <w:pageBreakBefore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隐蔽工程验收记录、检测报告（如取芯厚度）等证据的采信与争议处理（如多年后复测不达标）。</w:t>
      </w:r>
    </w:p>
    <w:p w14:paraId="7EFC8394">
      <w:pPr>
        <w:keepNext w:val="0"/>
        <w:keepLines w:val="0"/>
        <w:pageBreakBefore w:val="0"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“建设工程其他费用”（如三通一平）的评审要点。</w:t>
      </w:r>
    </w:p>
    <w:p w14:paraId="3850C98A">
      <w:pPr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评审流程与风险防范：</w:t>
      </w:r>
      <w:r>
        <w:rPr>
          <w:rFonts w:hint="eastAsia" w:ascii="仿宋" w:hAnsi="仿宋" w:eastAsia="仿宋" w:cs="仿宋"/>
          <w:sz w:val="24"/>
          <w:szCs w:val="24"/>
        </w:rPr>
        <w:t>评审意见的形成、反馈、核对与争议解决内部流程。如何避免评审行为本身的法律风险？</w:t>
      </w:r>
    </w:p>
    <w:p w14:paraId="0E5087E1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讲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：争议解决与权威机构咨询路径</w:t>
      </w:r>
    </w:p>
    <w:p w14:paraId="427986EC">
      <w:pPr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争议解决策略：</w:t>
      </w:r>
      <w:r>
        <w:rPr>
          <w:rFonts w:hint="eastAsia" w:ascii="仿宋" w:hAnsi="仿宋" w:eastAsia="仿宋" w:cs="仿宋"/>
          <w:sz w:val="24"/>
          <w:szCs w:val="24"/>
        </w:rPr>
        <w:t>当与建设单位、施工单位意见不统一时，如何高效解决？内部协商、专家论证、权威机构咨询等路径的选择。</w:t>
      </w:r>
    </w:p>
    <w:p w14:paraId="4B39F0D0">
      <w:pPr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定额站的权威性：</w:t>
      </w:r>
      <w:r>
        <w:rPr>
          <w:rFonts w:hint="eastAsia" w:ascii="仿宋" w:hAnsi="仿宋" w:eastAsia="仿宋" w:cs="仿宋"/>
          <w:sz w:val="24"/>
          <w:szCs w:val="24"/>
        </w:rPr>
        <w:t>向省、市定额（造价）站进行业务咨询的性质、效力和操作流程。咨询结果如何形成具有说服力的文字依据？</w:t>
      </w:r>
    </w:p>
    <w:p w14:paraId="13CDB79C">
      <w:pPr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案例研讨：</w:t>
      </w:r>
      <w:r>
        <w:rPr>
          <w:rFonts w:hint="eastAsia" w:ascii="仿宋" w:hAnsi="仿宋" w:eastAsia="仿宋" w:cs="仿宋"/>
          <w:sz w:val="24"/>
          <w:szCs w:val="24"/>
        </w:rPr>
        <w:t>综合案例：一个从招标到结算全周期存在多个典型问题的复杂项目，引导学员系统思考，提出全面的评审与审计意见。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​</w:t>
      </w:r>
    </w:p>
    <w:p w14:paraId="2943A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二、培训对象</w:t>
      </w:r>
    </w:p>
    <w:p w14:paraId="5D5A4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建设单位（甲方/业主方）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成本管理/成本合约部人员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工程造价人员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项目总经理/工程管理部负责人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财务人员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</w:t>
      </w:r>
      <w:r>
        <w:rPr>
          <w:rFonts w:hint="eastAsia" w:ascii="仿宋" w:hAnsi="仿宋" w:eastAsia="仿宋" w:cs="仿宋"/>
          <w:sz w:val="24"/>
          <w:szCs w:val="24"/>
        </w:rPr>
        <w:t>施工单位（乙方/承包方）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投标报价人员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项目经理及项目商务经理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施工单位的造价人员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工程造价咨询企业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所有专业的造价工程师/顾问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企业技术负责人/总工程师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</w:t>
      </w:r>
      <w:r>
        <w:rPr>
          <w:rFonts w:hint="eastAsia" w:ascii="仿宋" w:hAnsi="仿宋" w:eastAsia="仿宋" w:cs="仿宋"/>
          <w:sz w:val="24"/>
          <w:szCs w:val="24"/>
        </w:rPr>
        <w:t>政府审计部门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财政评审中心人员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企业内部审计/风控部门人员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造价监理工程师/负责投资的监理工程师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设计单位相关人员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律师事务所律师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高等院校相关专业教师及研究人员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仲裁员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司法鉴定人员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38F984B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</w:rPr>
        <w:t>时间、地点</w:t>
      </w:r>
    </w:p>
    <w:p w14:paraId="021962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2026年01月08日-01月10日 （08日全天报到）   呼和浩特市</w:t>
      </w:r>
    </w:p>
    <w:p w14:paraId="765544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2026年02月05日-02月07日 （05日全天报到）   天津市</w:t>
      </w:r>
    </w:p>
    <w:p w14:paraId="77D6A1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7FBC467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</w:rPr>
        <w:t>相关费用</w:t>
      </w:r>
    </w:p>
    <w:p w14:paraId="06F0169F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A.3280元/人（含专家费、资料费、电子课件、场地、会议期间午餐），住宿统一安排，费用自理。</w:t>
      </w:r>
    </w:p>
    <w:p w14:paraId="682CE2D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B.5680元/人（含全过程工程咨询师(高级、中级)证书及网上学习3天专业课程、资料费、电子课件、会议期间午餐），住宿统一安排，费用自理。</w:t>
      </w:r>
    </w:p>
    <w:p w14:paraId="1A476E1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C.以上内容线上培训费用：19800元一个企业学习账号，单位投屏播放，统一观看。</w:t>
      </w:r>
    </w:p>
    <w:p w14:paraId="50E7C658">
      <w:pPr>
        <w:numPr>
          <w:ilvl w:val="0"/>
          <w:numId w:val="11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4800元/人（含全过程工程咨询师(高级、中级)证书及网上学习3天课程）。</w:t>
      </w:r>
    </w:p>
    <w:p w14:paraId="376C10F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备注：申报证书需提供报名表一份、2寸照电子照片（蓝底免冠彩照）、身份证复印件一份、学历证书复印件一份，在职单位证明（原件）一份，审核通过后出准考证，每个月最后一个周末为网上考试时间。</w:t>
      </w:r>
    </w:p>
    <w:p w14:paraId="46D6F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颁证机构：</w:t>
      </w:r>
    </w:p>
    <w:p w14:paraId="5872FFF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国家职业资格培训鉴定实验基地（http://www.nptb.org/）是人力资源和社会保障部在天津建立的综合性职业标准开发机构，主要承担国家新职业标准研发和推广任务，开展培训鉴定实验项目和课题研究，进行新职业教材和课程设计，建立新职业考核标准、考试题库。</w:t>
      </w:r>
    </w:p>
    <w:p w14:paraId="793FCB02">
      <w:p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</w:rPr>
        <w:t>、联系方式</w:t>
      </w:r>
    </w:p>
    <w:p w14:paraId="49A9E1AE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报名负责人：聂红军 主任18211071700（微信）   </w:t>
      </w:r>
    </w:p>
    <w:p w14:paraId="19DC5523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电    话：13141289128        邮    箱：zqgphwz@126.com  </w:t>
      </w:r>
    </w:p>
    <w:p w14:paraId="3F865500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qq咨询：3177524020          网    址：http://www.zqgpchina.cn</w:t>
      </w:r>
    </w:p>
    <w:p w14:paraId="7A65439D">
      <w:pPr>
        <w:ind w:firstLine="480" w:firstLineChars="200"/>
        <w:rPr>
          <w:rFonts w:hint="eastAsia" w:ascii="仿宋" w:hAnsi="仿宋" w:eastAsia="仿宋" w:cs="仿宋"/>
          <w:kern w:val="0"/>
          <w:sz w:val="24"/>
        </w:rPr>
      </w:pPr>
    </w:p>
    <w:p w14:paraId="13D43ED1">
      <w:pPr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177165</wp:posOffset>
            </wp:positionV>
            <wp:extent cx="2679700" cy="1905000"/>
            <wp:effectExtent l="0" t="0" r="0" b="0"/>
            <wp:wrapNone/>
            <wp:docPr id="2" name="图片 2" descr="建术公章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术公章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C6CB79">
      <w:pPr>
        <w:spacing w:line="400" w:lineRule="exact"/>
        <w:ind w:right="80" w:rightChars="38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</w:p>
    <w:p w14:paraId="66AF1C20">
      <w:pPr>
        <w:rPr>
          <w:rFonts w:hint="eastAsia" w:ascii="仿宋" w:hAnsi="仿宋" w:eastAsia="仿宋" w:cs="仿宋"/>
        </w:rPr>
      </w:pPr>
    </w:p>
    <w:p w14:paraId="7AACD38C">
      <w:pPr>
        <w:rPr>
          <w:rFonts w:hint="eastAsia" w:ascii="仿宋" w:hAnsi="仿宋" w:eastAsia="仿宋" w:cs="仿宋"/>
        </w:rPr>
      </w:pPr>
    </w:p>
    <w:p w14:paraId="7C2A3FAC">
      <w:pPr>
        <w:rPr>
          <w:rFonts w:hint="eastAsia" w:ascii="仿宋" w:hAnsi="仿宋" w:eastAsia="仿宋" w:cs="仿宋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57785</wp:posOffset>
                </wp:positionV>
                <wp:extent cx="2590800" cy="6921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54855" y="9659620"/>
                          <a:ext cx="25908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6577D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</w:rPr>
                              <w:t>北京建术信息科技研究院有限公司                                              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4"/>
                              </w:rPr>
                              <w:t>日</w:t>
                            </w:r>
                          </w:p>
                          <w:p w14:paraId="1E3BB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5pt;margin-top:4.55pt;height:54.5pt;width:204pt;z-index:-251655168;mso-width-relative:page;mso-height-relative:page;" filled="f" stroked="f" coordsize="21600,21600" o:gfxdata="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GZGeD2QAAAAkBAAAPAAAAAAAAAAEA&#10;IAAAACIAAABkcnMvZG93bnJldi54bWxQSwECFAAUAAAACACHTuJAZDTViUcCAABy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F6577D">
                      <w:pPr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</w:rPr>
                        <w:t>北京建术信息科技研究院有限公司                                              202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4"/>
                        </w:rPr>
                        <w:t>日</w:t>
                      </w:r>
                    </w:p>
                    <w:p w14:paraId="1E3BB4ED"/>
                  </w:txbxContent>
                </v:textbox>
              </v:shape>
            </w:pict>
          </mc:Fallback>
        </mc:AlternateContent>
      </w:r>
    </w:p>
    <w:p w14:paraId="4FCB0311">
      <w:pPr>
        <w:rPr>
          <w:rFonts w:hint="eastAsia" w:ascii="仿宋" w:hAnsi="仿宋" w:eastAsia="仿宋" w:cs="仿宋"/>
        </w:rPr>
      </w:pPr>
    </w:p>
    <w:p w14:paraId="6AC72756">
      <w:pPr>
        <w:rPr>
          <w:rFonts w:hint="eastAsia" w:ascii="仿宋" w:hAnsi="仿宋" w:eastAsia="仿宋" w:cs="仿宋"/>
        </w:rPr>
      </w:pPr>
    </w:p>
    <w:p w14:paraId="4BBE27FF">
      <w:pPr>
        <w:rPr>
          <w:rFonts w:hint="eastAsia" w:ascii="仿宋" w:hAnsi="仿宋" w:eastAsia="仿宋" w:cs="仿宋"/>
        </w:rPr>
      </w:pPr>
    </w:p>
    <w:p w14:paraId="1C3B8288">
      <w:pPr>
        <w:rPr>
          <w:rFonts w:hint="eastAsia" w:ascii="仿宋" w:hAnsi="仿宋" w:eastAsia="仿宋" w:cs="仿宋"/>
        </w:rPr>
      </w:pPr>
    </w:p>
    <w:p w14:paraId="1787E584">
      <w:pPr>
        <w:rPr>
          <w:rFonts w:hint="eastAsia" w:ascii="仿宋" w:hAnsi="仿宋" w:eastAsia="仿宋" w:cs="仿宋"/>
        </w:rPr>
      </w:pPr>
    </w:p>
    <w:p w14:paraId="12851B34">
      <w:pPr>
        <w:rPr>
          <w:rFonts w:hint="eastAsia" w:ascii="仿宋" w:hAnsi="仿宋" w:eastAsia="仿宋" w:cs="仿宋"/>
        </w:rPr>
      </w:pPr>
    </w:p>
    <w:p w14:paraId="633BD5C4">
      <w:pPr>
        <w:rPr>
          <w:rFonts w:hint="eastAsia" w:ascii="仿宋" w:hAnsi="仿宋" w:eastAsia="仿宋" w:cs="仿宋"/>
        </w:rPr>
      </w:pPr>
    </w:p>
    <w:p w14:paraId="6CF2F190">
      <w:pPr>
        <w:rPr>
          <w:rFonts w:hint="eastAsia" w:ascii="仿宋" w:hAnsi="仿宋" w:eastAsia="仿宋" w:cs="仿宋"/>
        </w:rPr>
      </w:pPr>
    </w:p>
    <w:p w14:paraId="602525CF">
      <w:pPr>
        <w:rPr>
          <w:rFonts w:hint="eastAsia" w:ascii="仿宋" w:hAnsi="仿宋" w:eastAsia="仿宋" w:cs="仿宋"/>
        </w:rPr>
      </w:pPr>
      <w:bookmarkStart w:id="0" w:name="_GoBack"/>
      <w:bookmarkEnd w:id="0"/>
    </w:p>
    <w:p w14:paraId="4582D703">
      <w:pPr>
        <w:rPr>
          <w:rFonts w:hint="eastAsia" w:ascii="仿宋" w:hAnsi="仿宋" w:eastAsia="仿宋" w:cs="仿宋"/>
        </w:rPr>
      </w:pPr>
    </w:p>
    <w:p w14:paraId="63807FD0">
      <w:pPr>
        <w:spacing w:line="400" w:lineRule="exact"/>
        <w:ind w:right="80" w:rightChars="38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</w:p>
    <w:p w14:paraId="11D453CC">
      <w:pPr>
        <w:spacing w:line="400" w:lineRule="exact"/>
        <w:ind w:right="80" w:rightChars="38"/>
        <w:rPr>
          <w:rStyle w:val="7"/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72E34AE6">
      <w:pPr>
        <w:spacing w:line="400" w:lineRule="exact"/>
        <w:ind w:right="80" w:rightChars="38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 xml:space="preserve">附件2：                   </w:t>
      </w:r>
    </w:p>
    <w:p w14:paraId="1111EDE4">
      <w:pPr>
        <w:spacing w:line="400" w:lineRule="exact"/>
        <w:ind w:right="80" w:rightChars="38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2024版《建设工程工程量清单计价标准》的核心变化与关键条款、竣工决算与审计实务操作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培训班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报名回执表</w:t>
      </w:r>
    </w:p>
    <w:tbl>
      <w:tblPr>
        <w:tblStyle w:val="5"/>
        <w:tblpPr w:leftFromText="180" w:rightFromText="180" w:vertAnchor="text" w:horzAnchor="page" w:tblpXSpec="center" w:tblpY="187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935"/>
        <w:gridCol w:w="1208"/>
        <w:gridCol w:w="1417"/>
        <w:gridCol w:w="986"/>
        <w:gridCol w:w="996"/>
        <w:gridCol w:w="504"/>
        <w:gridCol w:w="948"/>
      </w:tblGrid>
      <w:tr w14:paraId="7ADB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32" w:type="dxa"/>
            <w:noWrap/>
            <w:vAlign w:val="center"/>
          </w:tcPr>
          <w:p w14:paraId="1B921B3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单位名称</w:t>
            </w:r>
          </w:p>
        </w:tc>
        <w:tc>
          <w:tcPr>
            <w:tcW w:w="4546" w:type="dxa"/>
            <w:gridSpan w:val="4"/>
            <w:noWrap/>
            <w:vAlign w:val="center"/>
          </w:tcPr>
          <w:p w14:paraId="792ABA8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 w14:paraId="0B6C9FD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邮编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63E0C871">
            <w:pPr>
              <w:spacing w:line="360" w:lineRule="exact"/>
              <w:ind w:left="149" w:right="80" w:rightChars="38" w:hanging="148" w:hangingChars="62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C1A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32" w:type="dxa"/>
            <w:noWrap/>
            <w:vAlign w:val="center"/>
          </w:tcPr>
          <w:p w14:paraId="49B02B1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详细地址</w:t>
            </w:r>
          </w:p>
        </w:tc>
        <w:tc>
          <w:tcPr>
            <w:tcW w:w="6994" w:type="dxa"/>
            <w:gridSpan w:val="7"/>
            <w:noWrap/>
            <w:vAlign w:val="center"/>
          </w:tcPr>
          <w:p w14:paraId="4307BAA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D49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32" w:type="dxa"/>
            <w:noWrap/>
            <w:vAlign w:val="center"/>
          </w:tcPr>
          <w:p w14:paraId="24CCAEF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</w:t>
            </w:r>
          </w:p>
        </w:tc>
        <w:tc>
          <w:tcPr>
            <w:tcW w:w="3560" w:type="dxa"/>
            <w:gridSpan w:val="3"/>
            <w:noWrap/>
            <w:vAlign w:val="center"/>
          </w:tcPr>
          <w:p w14:paraId="7DA7C55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492B446B">
            <w:pPr>
              <w:keepNext/>
              <w:spacing w:line="360" w:lineRule="exact"/>
              <w:ind w:right="80" w:rightChars="38"/>
              <w:outlineLvl w:val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1290549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2B3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32" w:type="dxa"/>
            <w:noWrap/>
            <w:vAlign w:val="center"/>
          </w:tcPr>
          <w:p w14:paraId="6B1628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电话（区号）</w:t>
            </w:r>
          </w:p>
        </w:tc>
        <w:tc>
          <w:tcPr>
            <w:tcW w:w="3560" w:type="dxa"/>
            <w:gridSpan w:val="3"/>
            <w:noWrap/>
            <w:vAlign w:val="center"/>
          </w:tcPr>
          <w:p w14:paraId="752DCA9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1E53175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传真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7F85352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9BD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50A23489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参班代表姓名</w:t>
            </w:r>
          </w:p>
        </w:tc>
        <w:tc>
          <w:tcPr>
            <w:tcW w:w="935" w:type="dxa"/>
            <w:noWrap/>
            <w:vAlign w:val="center"/>
          </w:tcPr>
          <w:p w14:paraId="573C80CA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208" w:type="dxa"/>
            <w:noWrap/>
            <w:vAlign w:val="center"/>
          </w:tcPr>
          <w:p w14:paraId="1C681F6E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部门</w:t>
            </w:r>
          </w:p>
        </w:tc>
        <w:tc>
          <w:tcPr>
            <w:tcW w:w="1417" w:type="dxa"/>
            <w:noWrap/>
            <w:vAlign w:val="center"/>
          </w:tcPr>
          <w:p w14:paraId="042518B3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1982" w:type="dxa"/>
            <w:gridSpan w:val="2"/>
            <w:noWrap/>
            <w:vAlign w:val="center"/>
          </w:tcPr>
          <w:p w14:paraId="52D7D9CC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219BE48B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</w:tr>
      <w:tr w14:paraId="4BFE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5A4C558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3522F41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3604E3E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68495A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29C4183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51A8F3C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C52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5EBB74D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00DC43B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652F26E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910EAC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5D0D5E8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291A841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F4B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7138404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71D1714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334C3AD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44A351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4F67FCA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53F84C2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CE0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5DF8057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7A67476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3F21270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316DC1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6685E7E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66D508A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E9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391DB52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539A3B2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4ED09FD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3FD280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7E42AA8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4988246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DDD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noWrap/>
            <w:vAlign w:val="center"/>
          </w:tcPr>
          <w:p w14:paraId="013A0E1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3746106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07668CC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96A31D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3CDC04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4DB8C19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344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2" w:type="dxa"/>
            <w:noWrap/>
            <w:vAlign w:val="center"/>
          </w:tcPr>
          <w:p w14:paraId="3783132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3B57A86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18306C3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677495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27EFB4A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55BCEA6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414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2" w:type="dxa"/>
            <w:noWrap/>
            <w:vAlign w:val="center"/>
          </w:tcPr>
          <w:p w14:paraId="2BB4D6E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5" w:type="dxa"/>
            <w:noWrap/>
            <w:vAlign w:val="center"/>
          </w:tcPr>
          <w:p w14:paraId="6BC5B5B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38ED388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B42EC2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 w14:paraId="45C7FBE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49A1829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8EB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2" w:type="dxa"/>
            <w:noWrap/>
            <w:vAlign w:val="center"/>
          </w:tcPr>
          <w:p w14:paraId="3D4A79C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住宿安排</w:t>
            </w:r>
          </w:p>
        </w:tc>
        <w:tc>
          <w:tcPr>
            <w:tcW w:w="6994" w:type="dxa"/>
            <w:gridSpan w:val="7"/>
            <w:noWrap/>
            <w:vAlign w:val="center"/>
          </w:tcPr>
          <w:p w14:paraId="6BCA714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□单间    □标间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    □否    □自行安排</w:t>
            </w:r>
          </w:p>
        </w:tc>
      </w:tr>
      <w:tr w14:paraId="348F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932" w:type="dxa"/>
            <w:noWrap/>
            <w:vAlign w:val="center"/>
          </w:tcPr>
          <w:p w14:paraId="0B04DD1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参会地点</w:t>
            </w:r>
          </w:p>
        </w:tc>
        <w:tc>
          <w:tcPr>
            <w:tcW w:w="4546" w:type="dxa"/>
            <w:gridSpan w:val="4"/>
            <w:noWrap/>
            <w:vAlign w:val="center"/>
          </w:tcPr>
          <w:p w14:paraId="711825F8">
            <w:pPr>
              <w:spacing w:line="360" w:lineRule="exact"/>
              <w:ind w:left="240" w:right="80" w:rightChars="38" w:hanging="240" w:hanging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上海 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呼和浩特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天津</w:t>
            </w:r>
          </w:p>
        </w:tc>
        <w:tc>
          <w:tcPr>
            <w:tcW w:w="1500" w:type="dxa"/>
            <w:gridSpan w:val="2"/>
            <w:noWrap/>
            <w:vAlign w:val="center"/>
          </w:tcPr>
          <w:p w14:paraId="057397B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培训费用</w:t>
            </w:r>
          </w:p>
        </w:tc>
        <w:tc>
          <w:tcPr>
            <w:tcW w:w="948" w:type="dxa"/>
            <w:noWrap/>
            <w:vAlign w:val="center"/>
          </w:tcPr>
          <w:p w14:paraId="5AF7EEE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729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932" w:type="dxa"/>
            <w:noWrap/>
            <w:vAlign w:val="center"/>
          </w:tcPr>
          <w:p w14:paraId="4BDF911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付款方式</w:t>
            </w:r>
          </w:p>
        </w:tc>
        <w:tc>
          <w:tcPr>
            <w:tcW w:w="6994" w:type="dxa"/>
            <w:gridSpan w:val="7"/>
            <w:noWrap/>
            <w:vAlign w:val="center"/>
          </w:tcPr>
          <w:p w14:paraId="53AEECEC">
            <w:pPr>
              <w:spacing w:line="360" w:lineRule="exact"/>
              <w:ind w:right="80" w:rightChars="38" w:firstLine="240" w:firstLine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□通过银行        □刷卡      □现金   □微信/支付宝</w:t>
            </w:r>
          </w:p>
        </w:tc>
      </w:tr>
      <w:tr w14:paraId="11E8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32" w:type="dxa"/>
            <w:noWrap/>
            <w:vAlign w:val="center"/>
          </w:tcPr>
          <w:p w14:paraId="5EFF5203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发票类别</w:t>
            </w:r>
          </w:p>
        </w:tc>
        <w:tc>
          <w:tcPr>
            <w:tcW w:w="6994" w:type="dxa"/>
            <w:gridSpan w:val="7"/>
            <w:noWrap/>
            <w:vAlign w:val="top"/>
          </w:tcPr>
          <w:p w14:paraId="3400856C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增值税（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普通□专用）发票,开票信息如下：</w:t>
            </w:r>
          </w:p>
          <w:p w14:paraId="4EAF9541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位 名 称：</w:t>
            </w:r>
          </w:p>
          <w:p w14:paraId="38BE4139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税       号：</w:t>
            </w:r>
          </w:p>
          <w:p w14:paraId="6C346413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地址、 电话：</w:t>
            </w:r>
          </w:p>
          <w:p w14:paraId="03FBDAFD">
            <w:pPr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开户行、账号：</w:t>
            </w:r>
          </w:p>
        </w:tc>
      </w:tr>
      <w:tr w14:paraId="3910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32" w:type="dxa"/>
            <w:noWrap/>
            <w:vAlign w:val="center"/>
          </w:tcPr>
          <w:p w14:paraId="68D9444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指定收款账户</w:t>
            </w:r>
          </w:p>
        </w:tc>
        <w:tc>
          <w:tcPr>
            <w:tcW w:w="6994" w:type="dxa"/>
            <w:gridSpan w:val="7"/>
            <w:noWrap/>
            <w:vAlign w:val="center"/>
          </w:tcPr>
          <w:p w14:paraId="1CCD8A80">
            <w:pPr>
              <w:spacing w:line="34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ru-RU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ru-RU"/>
              </w:rPr>
              <w:t>户  名：北京建术信息科技研究院有限公司</w:t>
            </w:r>
          </w:p>
          <w:p w14:paraId="50BD2415">
            <w:pPr>
              <w:spacing w:line="34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ru-RU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ru-RU"/>
              </w:rPr>
              <w:t>开户行：中国建设银行股份有限公司北京昌平小汤山支行</w:t>
            </w:r>
          </w:p>
          <w:p w14:paraId="6F326AC4">
            <w:pPr>
              <w:spacing w:line="34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ru-RU"/>
              </w:rPr>
              <w:t>账  号：1105 0110 2401 0900 0164</w:t>
            </w:r>
          </w:p>
        </w:tc>
      </w:tr>
      <w:tr w14:paraId="5582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2" w:type="dxa"/>
            <w:noWrap/>
            <w:vAlign w:val="center"/>
          </w:tcPr>
          <w:p w14:paraId="76AB2AD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参会方式</w:t>
            </w:r>
          </w:p>
        </w:tc>
        <w:tc>
          <w:tcPr>
            <w:tcW w:w="6994" w:type="dxa"/>
            <w:gridSpan w:val="7"/>
            <w:noWrap/>
            <w:vAlign w:val="center"/>
          </w:tcPr>
          <w:p w14:paraId="7C99C4F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请参会单位把参会回执回传至会务组，会务组确认后即发《参会凭证》，其中将详细注明报到时间、报到地点、食宿等具体安排事项。</w:t>
            </w:r>
          </w:p>
        </w:tc>
      </w:tr>
    </w:tbl>
    <w:p w14:paraId="4AD6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0" w:rightChars="38" w:firstLine="422" w:firstLineChars="200"/>
        <w:jc w:val="left"/>
        <w:textAlignment w:val="auto"/>
        <w:rPr>
          <w:rStyle w:val="7"/>
          <w:rFonts w:hint="eastAsia" w:ascii="仿宋" w:hAnsi="仿宋" w:eastAsia="仿宋" w:cs="仿宋"/>
          <w:color w:val="000000"/>
          <w:lang w:val="zh-CN"/>
        </w:rPr>
      </w:pPr>
      <w:r>
        <w:rPr>
          <w:rStyle w:val="7"/>
          <w:rFonts w:hint="eastAsia" w:ascii="仿宋" w:hAnsi="仿宋" w:eastAsia="仿宋" w:cs="仿宋"/>
          <w:color w:val="000000"/>
          <w:lang w:val="zh-CN"/>
        </w:rPr>
        <w:t>注：为保证培训质量，培训班名额有限，额满为止，请确定人员后及早报名。</w:t>
      </w:r>
    </w:p>
    <w:p w14:paraId="38EB47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报名负责人：聂红军 主任18211071700（微信）   </w:t>
      </w:r>
    </w:p>
    <w:p w14:paraId="1248F8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电    话：13141289128        邮    箱：zqgphwz@126.com  </w:t>
      </w:r>
    </w:p>
    <w:p w14:paraId="7C8A5A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qq咨询：3177524020          网    址：http://www.zqgpchina.cn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86A80"/>
    <w:multiLevelType w:val="multilevel"/>
    <w:tmpl w:val="04486A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4C5383E"/>
    <w:multiLevelType w:val="multilevel"/>
    <w:tmpl w:val="04C538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F93086D"/>
    <w:multiLevelType w:val="multilevel"/>
    <w:tmpl w:val="1F9308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DA3063B"/>
    <w:multiLevelType w:val="multilevel"/>
    <w:tmpl w:val="2DA306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8E30A95"/>
    <w:multiLevelType w:val="multilevel"/>
    <w:tmpl w:val="38E30A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B436AF7"/>
    <w:multiLevelType w:val="singleLevel"/>
    <w:tmpl w:val="4B436AF7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6">
    <w:nsid w:val="61D62C8A"/>
    <w:multiLevelType w:val="multilevel"/>
    <w:tmpl w:val="61D62C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82A5B7B"/>
    <w:multiLevelType w:val="multilevel"/>
    <w:tmpl w:val="682A5B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07C15C0"/>
    <w:multiLevelType w:val="multilevel"/>
    <w:tmpl w:val="707C15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91208B5"/>
    <w:multiLevelType w:val="multilevel"/>
    <w:tmpl w:val="791208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EFF5609"/>
    <w:multiLevelType w:val="multilevel"/>
    <w:tmpl w:val="7EFF56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52BA4540"/>
    <w:rsid w:val="065A307A"/>
    <w:rsid w:val="121A11D7"/>
    <w:rsid w:val="27C05D12"/>
    <w:rsid w:val="4F9143DA"/>
    <w:rsid w:val="52BA4540"/>
    <w:rsid w:val="5DB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  <w:rPr>
      <w:sz w:val="24"/>
    </w:rPr>
  </w:style>
  <w:style w:type="character" w:styleId="7">
    <w:name w:val="Strong"/>
    <w:basedOn w:val="6"/>
    <w:qFormat/>
    <w:uiPriority w:val="22"/>
    <w:rPr>
      <w:rFonts w:ascii="Times New Roman" w:hAnsi="Times New Roman" w:eastAsia="宋体" w:cs="Times New Roman"/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5124</Words>
  <Characters>5347</Characters>
  <Lines>0</Lines>
  <Paragraphs>0</Paragraphs>
  <TotalTime>4</TotalTime>
  <ScaleCrop>false</ScaleCrop>
  <LinksUpToDate>false</LinksUpToDate>
  <CharactersWithSpaces>5484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2024-05-13T06:46:00Z</dcterms:created>
  <dc:creator>姣 儿</dc:creator>
  <cp:lastModifiedBy>聂红军</cp:lastModifiedBy>
  <dcterms:modified xsi:type="dcterms:W3CDTF">2025-12-04T02:22:16Z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3282BFD0081E4513B3B48116EC2AC943_13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