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D5478">
      <w:pPr>
        <w:ind w:right="84" w:rightChars="38"/>
        <w:jc w:val="distribute"/>
        <w:rPr>
          <w:rFonts w:ascii="宋体" w:hAnsi="宋体" w:cs="宋体"/>
          <w:color w:val="FF0000"/>
          <w:spacing w:val="-11"/>
          <w:w w:val="90"/>
          <w:sz w:val="72"/>
          <w:szCs w:val="72"/>
        </w:rPr>
      </w:pPr>
      <w:r>
        <w:rPr>
          <w:rFonts w:hint="eastAsia" w:ascii="宋体" w:hAnsi="宋体" w:cs="宋体"/>
          <w:color w:val="FF0000"/>
          <w:spacing w:val="-73"/>
          <w:w w:val="90"/>
          <w:sz w:val="72"/>
          <w:szCs w:val="72"/>
        </w:rPr>
        <w:t>北</w:t>
      </w:r>
      <w:r>
        <w:rPr>
          <w:rFonts w:hint="eastAsia" w:ascii="宋体" w:hAnsi="宋体" w:cs="宋体"/>
          <w:color w:val="FF0000"/>
          <w:spacing w:val="-70"/>
          <w:w w:val="90"/>
          <w:sz w:val="72"/>
          <w:szCs w:val="72"/>
        </w:rPr>
        <w:t>京建</w:t>
      </w:r>
      <w:r>
        <w:rPr>
          <w:rFonts w:hint="eastAsia" w:ascii="宋体" w:hAnsi="宋体" w:cs="宋体"/>
          <w:color w:val="FF0000"/>
          <w:spacing w:val="-73"/>
          <w:w w:val="90"/>
          <w:sz w:val="72"/>
          <w:szCs w:val="72"/>
        </w:rPr>
        <w:t>术</w:t>
      </w:r>
      <w:r>
        <w:rPr>
          <w:rFonts w:hint="eastAsia" w:ascii="宋体" w:hAnsi="宋体" w:cs="宋体"/>
          <w:color w:val="FF0000"/>
          <w:spacing w:val="-70"/>
          <w:w w:val="90"/>
          <w:sz w:val="72"/>
          <w:szCs w:val="72"/>
        </w:rPr>
        <w:t>信息</w:t>
      </w:r>
      <w:r>
        <w:rPr>
          <w:rFonts w:hint="eastAsia" w:ascii="宋体" w:hAnsi="宋体" w:cs="宋体"/>
          <w:color w:val="FF0000"/>
          <w:spacing w:val="-73"/>
          <w:w w:val="90"/>
          <w:sz w:val="72"/>
          <w:szCs w:val="72"/>
        </w:rPr>
        <w:t>科</w:t>
      </w:r>
      <w:r>
        <w:rPr>
          <w:rFonts w:hint="eastAsia" w:ascii="宋体" w:hAnsi="宋体" w:cs="宋体"/>
          <w:color w:val="FF0000"/>
          <w:spacing w:val="-70"/>
          <w:w w:val="90"/>
          <w:sz w:val="72"/>
          <w:szCs w:val="72"/>
        </w:rPr>
        <w:t>技研</w:t>
      </w:r>
      <w:r>
        <w:rPr>
          <w:rFonts w:hint="eastAsia" w:ascii="宋体" w:hAnsi="宋体" w:cs="宋体"/>
          <w:color w:val="FF0000"/>
          <w:spacing w:val="-73"/>
          <w:w w:val="90"/>
          <w:sz w:val="72"/>
          <w:szCs w:val="72"/>
        </w:rPr>
        <w:t>究</w:t>
      </w:r>
      <w:r>
        <w:rPr>
          <w:rFonts w:hint="eastAsia" w:ascii="宋体" w:hAnsi="宋体" w:cs="宋体"/>
          <w:color w:val="FF0000"/>
          <w:spacing w:val="-70"/>
          <w:w w:val="90"/>
          <w:sz w:val="72"/>
          <w:szCs w:val="72"/>
        </w:rPr>
        <w:t>院有</w:t>
      </w:r>
      <w:r>
        <w:rPr>
          <w:rFonts w:hint="eastAsia" w:ascii="宋体" w:hAnsi="宋体" w:cs="宋体"/>
          <w:color w:val="FF0000"/>
          <w:spacing w:val="-73"/>
          <w:w w:val="90"/>
          <w:sz w:val="72"/>
          <w:szCs w:val="72"/>
        </w:rPr>
        <w:t>限</w:t>
      </w:r>
      <w:r>
        <w:rPr>
          <w:rFonts w:hint="eastAsia" w:ascii="宋体" w:hAnsi="宋体" w:cs="宋体"/>
          <w:color w:val="FF0000"/>
          <w:spacing w:val="-70"/>
          <w:w w:val="90"/>
          <w:sz w:val="72"/>
          <w:szCs w:val="72"/>
        </w:rPr>
        <w:t>公</w:t>
      </w:r>
      <w:r>
        <w:rPr>
          <w:rFonts w:hint="eastAsia" w:ascii="宋体" w:hAnsi="宋体" w:cs="宋体"/>
          <w:color w:val="FF0000"/>
          <w:spacing w:val="-11"/>
          <w:w w:val="90"/>
          <w:sz w:val="72"/>
          <w:szCs w:val="72"/>
        </w:rPr>
        <w:t>司</w:t>
      </w:r>
    </w:p>
    <w:p w14:paraId="70EE510A">
      <w:pPr>
        <w:ind w:right="84" w:rightChars="38"/>
        <w:jc w:val="center"/>
        <w:rPr>
          <w:rFonts w:ascii="仿宋" w:hAnsi="仿宋" w:eastAsia="Times New Roman" w:cs="仿宋"/>
          <w:color w:val="000000"/>
          <w:spacing w:val="2"/>
          <w:sz w:val="28"/>
        </w:rPr>
      </w:pPr>
      <w:r>
        <w:rPr>
          <w:sz w:val="24"/>
          <w:szCs w:val="24"/>
        </w:rPr>
        <mc:AlternateContent>
          <mc:Choice Requires="wps">
            <w:drawing>
              <wp:anchor distT="0" distB="0" distL="114300" distR="114300" simplePos="0" relativeHeight="251659264" behindDoc="0" locked="0" layoutInCell="0" allowOverlap="1">
                <wp:simplePos x="0" y="0"/>
                <wp:positionH relativeFrom="column">
                  <wp:posOffset>-30480</wp:posOffset>
                </wp:positionH>
                <wp:positionV relativeFrom="paragraph">
                  <wp:posOffset>408305</wp:posOffset>
                </wp:positionV>
                <wp:extent cx="5438140" cy="0"/>
                <wp:effectExtent l="0" t="19050" r="10160" b="0"/>
                <wp:wrapNone/>
                <wp:docPr id="2" name="直接连接符 2"/>
                <wp:cNvGraphicFramePr/>
                <a:graphic xmlns:a="http://schemas.openxmlformats.org/drawingml/2006/main">
                  <a:graphicData uri="http://schemas.microsoft.com/office/word/2010/wordprocessingShape">
                    <wps:wsp>
                      <wps:cNvCnPr/>
                      <wps:spPr>
                        <a:xfrm>
                          <a:off x="0" y="0"/>
                          <a:ext cx="5438140"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4pt;margin-top:32.15pt;height:0pt;width:428.2pt;z-index:251659264;mso-width-relative:page;mso-height-relative:page;" filled="f" stroked="t" coordsize="21600,21600" o:allowincell="f" o:gfxdata="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MqebXAAAACAEAAA8AAAAAAAAAAQAgAAAAIgAAAGRycy9kb3ducmV2LnhtbFBLAQIU&#10;ABQAAAAIAIdO4kBQo7Ti9AEAAOcDAAAOAAAAAAAAAAEAIAAAACYBAABkcnMvZTJvRG9jLnhtbFBL&#10;BQYAAAAABgAGAFkBAACMBQAAAAA=&#10;">
                <v:fill on="f" focussize="0,0"/>
                <v:stroke weight="2.25pt" color="#FF0000" joinstyle="round"/>
                <v:imagedata o:title=""/>
                <o:lock v:ext="edit" aspectratio="f"/>
              </v:line>
            </w:pict>
          </mc:Fallback>
        </mc:AlternateContent>
      </w:r>
      <w:r>
        <w:rPr>
          <w:rFonts w:hint="eastAsia" w:ascii="仿宋" w:hAnsi="仿宋" w:eastAsia="Times New Roman" w:cs="仿宋"/>
          <w:color w:val="000000"/>
          <w:spacing w:val="2"/>
          <w:sz w:val="28"/>
        </w:rPr>
        <w:t>建术</w:t>
      </w:r>
      <w:r>
        <w:rPr>
          <w:rFonts w:hint="eastAsia" w:ascii="仿宋" w:hAnsi="仿宋" w:eastAsia="宋体" w:cs="仿宋"/>
          <w:color w:val="000000"/>
          <w:spacing w:val="2"/>
          <w:sz w:val="28"/>
        </w:rPr>
        <w:t>[202</w:t>
      </w:r>
      <w:r>
        <w:rPr>
          <w:rFonts w:hint="eastAsia" w:ascii="仿宋" w:hAnsi="仿宋" w:eastAsia="宋体" w:cs="仿宋"/>
          <w:color w:val="000000"/>
          <w:spacing w:val="2"/>
          <w:sz w:val="28"/>
          <w:lang w:val="en-US" w:eastAsia="zh-CN"/>
        </w:rPr>
        <w:t>6</w:t>
      </w:r>
      <w:r>
        <w:rPr>
          <w:rFonts w:hint="eastAsia" w:ascii="仿宋" w:hAnsi="仿宋" w:eastAsia="宋体" w:cs="仿宋"/>
          <w:color w:val="000000"/>
          <w:spacing w:val="2"/>
          <w:sz w:val="28"/>
        </w:rPr>
        <w:t>]</w:t>
      </w:r>
      <w:r>
        <w:rPr>
          <w:rFonts w:hint="eastAsia" w:ascii="仿宋" w:hAnsi="仿宋" w:eastAsia="宋体" w:cs="仿宋"/>
          <w:color w:val="000000"/>
          <w:spacing w:val="2"/>
          <w:sz w:val="28"/>
          <w:lang w:val="en-US" w:eastAsia="zh-CN"/>
        </w:rPr>
        <w:t>01</w:t>
      </w:r>
      <w:r>
        <w:rPr>
          <w:rFonts w:hint="eastAsia" w:ascii="仿宋" w:hAnsi="仿宋" w:eastAsia="Times New Roman" w:cs="仿宋"/>
          <w:color w:val="000000"/>
          <w:spacing w:val="2"/>
          <w:sz w:val="28"/>
        </w:rPr>
        <w:t>号</w:t>
      </w:r>
    </w:p>
    <w:p w14:paraId="01A7D77C">
      <w:pPr>
        <w:ind w:right="84" w:rightChars="38"/>
        <w:jc w:val="both"/>
        <w:rPr>
          <w:rFonts w:ascii="宋体" w:hAnsi="宋体" w:eastAsia="宋体" w:cs="宋体"/>
          <w:sz w:val="32"/>
          <w:szCs w:val="32"/>
        </w:rPr>
      </w:pPr>
    </w:p>
    <w:p w14:paraId="1F02646D">
      <w:pPr>
        <w:ind w:right="84" w:rightChars="38"/>
        <w:jc w:val="center"/>
        <w:rPr>
          <w:rFonts w:ascii="黑体" w:hAnsi="黑体" w:eastAsia="黑体" w:cs="宋体"/>
          <w:color w:val="000000"/>
          <w:spacing w:val="2"/>
          <w:sz w:val="28"/>
        </w:rPr>
      </w:pPr>
      <w:r>
        <w:rPr>
          <w:rFonts w:ascii="黑体" w:hAnsi="黑体" w:eastAsia="黑体" w:cs="宋体"/>
          <w:color w:val="000000"/>
          <w:spacing w:val="2"/>
          <w:sz w:val="28"/>
        </w:rPr>
        <w:t>关于举办EPC</w:t>
      </w:r>
      <w:r>
        <w:rPr>
          <w:rFonts w:hint="eastAsia" w:ascii="黑体" w:hAnsi="黑体" w:eastAsia="黑体" w:cs="宋体"/>
          <w:color w:val="000000"/>
          <w:spacing w:val="2"/>
          <w:sz w:val="28"/>
        </w:rPr>
        <w:t>工程总承包相关政策解析及项目</w:t>
      </w:r>
      <w:r>
        <w:rPr>
          <w:rFonts w:ascii="黑体" w:hAnsi="黑体" w:eastAsia="黑体" w:cs="宋体"/>
          <w:color w:val="000000"/>
          <w:spacing w:val="2"/>
          <w:sz w:val="28"/>
        </w:rPr>
        <w:t>招投标、</w:t>
      </w:r>
      <w:r>
        <w:rPr>
          <w:rFonts w:hint="eastAsia" w:ascii="黑体" w:hAnsi="黑体" w:eastAsia="黑体" w:cs="宋体"/>
          <w:color w:val="000000"/>
          <w:spacing w:val="2"/>
          <w:sz w:val="28"/>
        </w:rPr>
        <w:t>全过程</w:t>
      </w:r>
      <w:r>
        <w:rPr>
          <w:rFonts w:ascii="黑体" w:hAnsi="黑体" w:eastAsia="黑体" w:cs="宋体"/>
          <w:color w:val="000000"/>
          <w:spacing w:val="2"/>
          <w:sz w:val="28"/>
        </w:rPr>
        <w:t>造价</w:t>
      </w:r>
      <w:r>
        <w:rPr>
          <w:rFonts w:hint="eastAsia" w:ascii="黑体" w:hAnsi="黑体" w:eastAsia="黑体" w:cs="宋体"/>
          <w:color w:val="000000"/>
          <w:spacing w:val="2"/>
          <w:sz w:val="28"/>
        </w:rPr>
        <w:t>管理、合同</w:t>
      </w:r>
      <w:r>
        <w:rPr>
          <w:rFonts w:ascii="黑体" w:hAnsi="黑体" w:eastAsia="黑体" w:cs="宋体"/>
          <w:color w:val="000000"/>
          <w:spacing w:val="2"/>
          <w:sz w:val="28"/>
        </w:rPr>
        <w:t>实操要点</w:t>
      </w:r>
      <w:r>
        <w:rPr>
          <w:rFonts w:hint="eastAsia" w:ascii="黑体" w:hAnsi="黑体" w:eastAsia="黑体" w:cs="宋体"/>
          <w:color w:val="000000"/>
          <w:spacing w:val="2"/>
          <w:sz w:val="28"/>
        </w:rPr>
        <w:t>与典型案例解析</w:t>
      </w:r>
      <w:r>
        <w:rPr>
          <w:rFonts w:ascii="黑体" w:hAnsi="黑体" w:eastAsia="黑体" w:cs="宋体"/>
          <w:color w:val="000000"/>
          <w:spacing w:val="2"/>
          <w:sz w:val="28"/>
        </w:rPr>
        <w:t>培训班的通知</w:t>
      </w:r>
    </w:p>
    <w:p w14:paraId="39D35BCD">
      <w:pPr>
        <w:spacing w:line="400" w:lineRule="exact"/>
        <w:ind w:right="84" w:rightChars="38"/>
        <w:jc w:val="both"/>
        <w:rPr>
          <w:rFonts w:ascii="仿宋" w:hAnsi="仿宋" w:eastAsia="仿宋" w:cs="仿宋"/>
          <w:b/>
          <w:bCs/>
          <w:color w:val="000000"/>
          <w:spacing w:val="2"/>
          <w:sz w:val="24"/>
        </w:rPr>
      </w:pPr>
      <w:r>
        <w:rPr>
          <w:rFonts w:hint="eastAsia" w:ascii="仿宋" w:hAnsi="仿宋" w:eastAsia="仿宋" w:cs="仿宋"/>
          <w:b/>
          <w:bCs/>
          <w:color w:val="000000"/>
          <w:spacing w:val="2"/>
          <w:sz w:val="24"/>
        </w:rPr>
        <w:t>各同业单位：</w:t>
      </w:r>
    </w:p>
    <w:p w14:paraId="03ED8057">
      <w:pPr>
        <w:keepNext w:val="0"/>
        <w:keepLines w:val="0"/>
        <w:pageBreakBefore w:val="0"/>
        <w:widowControl/>
        <w:kinsoku/>
        <w:wordWrap/>
        <w:overflowPunct/>
        <w:topLinePunct w:val="0"/>
        <w:autoSpaceDE/>
        <w:autoSpaceDN/>
        <w:bidi w:val="0"/>
        <w:adjustRightInd/>
        <w:snapToGrid/>
        <w:spacing w:line="400" w:lineRule="exact"/>
        <w:ind w:right="84" w:rightChars="38" w:firstLine="488" w:firstLineChars="200"/>
        <w:jc w:val="both"/>
        <w:textAlignment w:val="auto"/>
        <w:rPr>
          <w:rFonts w:hint="eastAsia" w:ascii="仿宋" w:hAnsi="仿宋" w:eastAsia="仿宋" w:cs="仿宋"/>
          <w:b w:val="0"/>
          <w:bCs w:val="0"/>
          <w:color w:val="000000"/>
          <w:spacing w:val="2"/>
          <w:sz w:val="24"/>
        </w:rPr>
      </w:pPr>
      <w:r>
        <w:rPr>
          <w:rFonts w:hint="eastAsia" w:ascii="仿宋" w:hAnsi="仿宋" w:eastAsia="仿宋" w:cs="仿宋"/>
          <w:b w:val="0"/>
          <w:bCs w:val="0"/>
          <w:color w:val="000000"/>
          <w:spacing w:val="2"/>
          <w:sz w:val="24"/>
        </w:rPr>
        <w:t>2016年我国开始大力推行工程总承包模式，至今已历经近十年的实践探索与发展。期间，国家与地方层面持续完善制度体系，国家层面陆续发布了 “93号文”和“12号文”，各地相继出台配套管理办法；2020年，《建设项目工程总承包合同（示范文本）》与《民法典》相关司法解释相继发布，为合同订立与纠纷解决提供了关键依据；2022年，行业推出《建设项目工程总承包计价规范》，进一步规范了专业领域计价行为。值得关注的是，工程造价管理的核心依据《建设工程工程量清单计价标准》（GB/T 50500-2024）也于2024年完成重大更新，并进一步促进工程造价市场化改革，这标志着我国工程发承包计价活动进入了更加强调市场主体作用与风险管理的新阶段。</w:t>
      </w:r>
    </w:p>
    <w:p w14:paraId="337E2AB1">
      <w:pPr>
        <w:keepNext w:val="0"/>
        <w:keepLines w:val="0"/>
        <w:pageBreakBefore w:val="0"/>
        <w:widowControl/>
        <w:kinsoku/>
        <w:wordWrap/>
        <w:overflowPunct/>
        <w:topLinePunct w:val="0"/>
        <w:autoSpaceDE/>
        <w:autoSpaceDN/>
        <w:bidi w:val="0"/>
        <w:adjustRightInd/>
        <w:snapToGrid/>
        <w:spacing w:line="400" w:lineRule="exact"/>
        <w:ind w:right="84" w:rightChars="38" w:firstLine="488" w:firstLineChars="200"/>
        <w:jc w:val="both"/>
        <w:textAlignment w:val="auto"/>
        <w:rPr>
          <w:rFonts w:hint="eastAsia" w:ascii="仿宋" w:hAnsi="仿宋" w:eastAsia="仿宋" w:cs="仿宋"/>
          <w:b w:val="0"/>
          <w:bCs w:val="0"/>
          <w:color w:val="000000"/>
          <w:spacing w:val="2"/>
          <w:sz w:val="24"/>
        </w:rPr>
      </w:pPr>
      <w:r>
        <w:rPr>
          <w:rFonts w:hint="eastAsia" w:ascii="仿宋" w:hAnsi="仿宋" w:eastAsia="仿宋" w:cs="仿宋"/>
          <w:b w:val="0"/>
          <w:bCs w:val="0"/>
          <w:color w:val="000000"/>
          <w:spacing w:val="2"/>
          <w:sz w:val="24"/>
        </w:rPr>
        <w:t>一系列政策文件与规范标准的接续出台，共同构成了当前工程总承包市场规范化、专业化发展的完整规则体系。为帮助各相关单位从业人员系统掌握最新政策精髓、精准把握市场化计价新规、有效防范项目风险，本次培训将围绕工程总承包与清单计价最新政策解读、全过程造价管控实务、招投标关键环节解析等核心内容展开，并结合近十年来的典型实践案例与经验教训进行深度剖析。</w:t>
      </w:r>
    </w:p>
    <w:p w14:paraId="19D67FAE">
      <w:pPr>
        <w:spacing w:line="400" w:lineRule="exact"/>
        <w:ind w:right="84" w:rightChars="38"/>
        <w:jc w:val="both"/>
        <w:rPr>
          <w:rFonts w:ascii="仿宋" w:hAnsi="仿宋" w:eastAsia="仿宋" w:cs="仿宋"/>
          <w:b/>
          <w:bCs/>
          <w:color w:val="000000"/>
          <w:spacing w:val="2"/>
          <w:sz w:val="24"/>
        </w:rPr>
      </w:pPr>
      <w:r>
        <w:rPr>
          <w:rFonts w:hint="eastAsia" w:ascii="仿宋" w:hAnsi="仿宋" w:eastAsia="仿宋" w:cs="仿宋"/>
          <w:b/>
          <w:bCs/>
          <w:color w:val="000000"/>
          <w:spacing w:val="2"/>
          <w:sz w:val="24"/>
        </w:rPr>
        <w:t>一、</w:t>
      </w:r>
      <w:r>
        <w:rPr>
          <w:rFonts w:hint="eastAsia" w:ascii="仿宋" w:hAnsi="仿宋" w:eastAsia="仿宋" w:cs="宋体"/>
          <w:b/>
          <w:bCs/>
          <w:color w:val="000000"/>
          <w:spacing w:val="2"/>
          <w:sz w:val="24"/>
        </w:rPr>
        <w:t>主办单位</w:t>
      </w:r>
    </w:p>
    <w:p w14:paraId="54ECEF01">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北京建术信息科技研究院有限公司</w:t>
      </w:r>
    </w:p>
    <w:p w14:paraId="2099ED6E">
      <w:pPr>
        <w:spacing w:line="400" w:lineRule="exact"/>
        <w:ind w:right="84" w:rightChars="38"/>
        <w:jc w:val="both"/>
        <w:rPr>
          <w:rFonts w:ascii="仿宋" w:hAnsi="仿宋" w:eastAsia="仿宋" w:cs="宋体"/>
          <w:b/>
          <w:bCs/>
          <w:color w:val="000000"/>
          <w:spacing w:val="2"/>
          <w:sz w:val="24"/>
        </w:rPr>
      </w:pPr>
      <w:r>
        <w:rPr>
          <w:rFonts w:hint="eastAsia" w:ascii="仿宋" w:hAnsi="仿宋" w:eastAsia="仿宋" w:cs="宋体"/>
          <w:b/>
          <w:bCs/>
          <w:color w:val="000000"/>
          <w:spacing w:val="2"/>
          <w:sz w:val="24"/>
        </w:rPr>
        <w:t>二、培训对象</w:t>
      </w:r>
    </w:p>
    <w:p w14:paraId="4C36564C">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建设单位、施工企业、</w:t>
      </w:r>
      <w:r>
        <w:rPr>
          <w:rFonts w:hint="eastAsia" w:ascii="仿宋" w:hAnsi="仿宋" w:eastAsia="仿宋" w:cs="仿宋"/>
          <w:color w:val="000000"/>
          <w:spacing w:val="2"/>
          <w:sz w:val="24"/>
          <w:lang w:val="en-US" w:eastAsia="zh-CN"/>
        </w:rPr>
        <w:t>设计单位、</w:t>
      </w:r>
      <w:r>
        <w:rPr>
          <w:rFonts w:hint="eastAsia" w:ascii="仿宋" w:hAnsi="仿宋" w:eastAsia="仿宋" w:cs="仿宋"/>
          <w:color w:val="000000"/>
          <w:spacing w:val="2"/>
          <w:sz w:val="24"/>
        </w:rPr>
        <w:t>工程咨询企业董事长、总经理、总工程师及招标投标、造价管理、项目管理、法律合同等相关专业人员；高等院校从事基建管理、工程管理、工程财务、工程审计的相关工作、教学和科研人员。</w:t>
      </w:r>
    </w:p>
    <w:p w14:paraId="5B998A6F">
      <w:pPr>
        <w:spacing w:line="400" w:lineRule="exact"/>
        <w:ind w:right="84" w:rightChars="38"/>
        <w:jc w:val="both"/>
        <w:rPr>
          <w:rFonts w:ascii="仿宋" w:hAnsi="仿宋" w:eastAsia="仿宋" w:cs="宋体"/>
          <w:b/>
          <w:bCs/>
          <w:color w:val="000000"/>
          <w:spacing w:val="2"/>
          <w:sz w:val="24"/>
        </w:rPr>
      </w:pPr>
      <w:r>
        <w:rPr>
          <w:rFonts w:hint="eastAsia" w:ascii="仿宋" w:hAnsi="仿宋" w:eastAsia="仿宋" w:cs="宋体"/>
          <w:b/>
          <w:bCs/>
          <w:color w:val="000000"/>
          <w:spacing w:val="2"/>
          <w:sz w:val="24"/>
        </w:rPr>
        <w:t>三、主要内容</w:t>
      </w:r>
    </w:p>
    <w:p w14:paraId="2C60A296">
      <w:pPr>
        <w:spacing w:line="400" w:lineRule="exact"/>
        <w:ind w:right="84" w:rightChars="38" w:firstLine="490" w:firstLineChars="200"/>
        <w:jc w:val="both"/>
        <w:rPr>
          <w:rFonts w:ascii="仿宋" w:hAnsi="仿宋" w:eastAsia="仿宋" w:cs="仿宋"/>
          <w:b/>
          <w:bCs/>
          <w:color w:val="000000"/>
          <w:spacing w:val="2"/>
          <w:sz w:val="24"/>
        </w:rPr>
      </w:pPr>
      <w:r>
        <w:rPr>
          <w:rFonts w:hint="eastAsia" w:ascii="仿宋" w:hAnsi="仿宋" w:eastAsia="仿宋" w:cs="仿宋"/>
          <w:b/>
          <w:bCs/>
          <w:color w:val="000000"/>
          <w:spacing w:val="2"/>
          <w:sz w:val="24"/>
        </w:rPr>
        <w:t>（一）</w:t>
      </w:r>
      <w:r>
        <w:rPr>
          <w:rFonts w:ascii="仿宋" w:hAnsi="仿宋" w:eastAsia="仿宋" w:cs="仿宋"/>
          <w:b/>
          <w:bCs/>
          <w:color w:val="000000"/>
          <w:spacing w:val="2"/>
          <w:sz w:val="24"/>
        </w:rPr>
        <w:t>EPC工程总承包</w:t>
      </w:r>
      <w:r>
        <w:rPr>
          <w:rFonts w:hint="eastAsia" w:ascii="仿宋" w:hAnsi="仿宋" w:eastAsia="仿宋" w:cs="仿宋"/>
          <w:b/>
          <w:bCs/>
          <w:color w:val="000000"/>
          <w:spacing w:val="2"/>
          <w:sz w:val="24"/>
        </w:rPr>
        <w:t>模式</w:t>
      </w:r>
      <w:r>
        <w:rPr>
          <w:rFonts w:ascii="仿宋" w:hAnsi="仿宋" w:eastAsia="仿宋" w:cs="仿宋"/>
          <w:b/>
          <w:bCs/>
          <w:color w:val="000000"/>
          <w:spacing w:val="2"/>
          <w:sz w:val="24"/>
        </w:rPr>
        <w:t>政策规定与实践分析、案例分享</w:t>
      </w:r>
    </w:p>
    <w:p w14:paraId="124A1B4D">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1.工程总承包的核心优势所在。从行业发展、业主、承包商角度，对其特点进行分析；</w:t>
      </w:r>
    </w:p>
    <w:p w14:paraId="40062566">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2.什么样的项目适合采用工程总承包模式；</w:t>
      </w:r>
    </w:p>
    <w:p w14:paraId="46D59E62">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3.政府投资项目和非政府投资项目发包阶段和条件；</w:t>
      </w:r>
    </w:p>
    <w:p w14:paraId="0C29F7C3">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4.工程总承包</w:t>
      </w:r>
      <w:r>
        <w:rPr>
          <w:rFonts w:hint="eastAsia" w:ascii="仿宋" w:hAnsi="仿宋" w:eastAsia="仿宋" w:cs="仿宋"/>
          <w:color w:val="000000"/>
          <w:spacing w:val="2"/>
          <w:sz w:val="24"/>
        </w:rPr>
        <w:t>项目</w:t>
      </w:r>
      <w:r>
        <w:rPr>
          <w:rFonts w:ascii="仿宋" w:hAnsi="仿宋" w:eastAsia="仿宋" w:cs="仿宋"/>
          <w:color w:val="000000"/>
          <w:spacing w:val="2"/>
          <w:sz w:val="24"/>
        </w:rPr>
        <w:t>发包方式；招标方式、直接委托方式的适用条件；</w:t>
      </w:r>
    </w:p>
    <w:p w14:paraId="4112A55E">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5.招标文件的主要内容分析，与施工承包招标文件的对比分析；《发包人要求》与合同的关系，《发包人要求》与变更；</w:t>
      </w:r>
    </w:p>
    <w:p w14:paraId="035EE377">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6.招标清单的应用，工程总承包招标清单编制规定、关注要点及案例分析，与施工总承包工程量清单的对比分析；</w:t>
      </w:r>
    </w:p>
    <w:p w14:paraId="6A48F750">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7.工程总承包投标人的资质要求、联合体、禁止投标单位；资质类型；专项设计/分包资质是否可以承接工程总承包项目及其政策依据；采用联合体模式需要关注的要点，联合体协议书、连带责任、设计责任、建设责任、激励机制；</w:t>
      </w:r>
    </w:p>
    <w:p w14:paraId="0C44A2EA">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8.工程总承包</w:t>
      </w:r>
      <w:r>
        <w:rPr>
          <w:rFonts w:hint="eastAsia" w:ascii="仿宋" w:hAnsi="仿宋" w:eastAsia="仿宋" w:cs="仿宋"/>
          <w:color w:val="000000"/>
          <w:spacing w:val="2"/>
          <w:sz w:val="24"/>
        </w:rPr>
        <w:t>模式</w:t>
      </w:r>
      <w:r>
        <w:rPr>
          <w:rFonts w:ascii="仿宋" w:hAnsi="仿宋" w:eastAsia="仿宋" w:cs="仿宋"/>
          <w:color w:val="000000"/>
          <w:spacing w:val="2"/>
          <w:sz w:val="24"/>
        </w:rPr>
        <w:t>下风险分担的原则；从政策层面和合同角度分析，哪些是发包人的风险，哪些是承包人的风险；从承包商的角度</w:t>
      </w:r>
      <w:r>
        <w:rPr>
          <w:rFonts w:hint="eastAsia" w:ascii="仿宋" w:hAnsi="仿宋" w:eastAsia="仿宋" w:cs="仿宋"/>
          <w:color w:val="000000"/>
          <w:spacing w:val="2"/>
          <w:sz w:val="24"/>
        </w:rPr>
        <w:t>分析</w:t>
      </w:r>
      <w:r>
        <w:rPr>
          <w:rFonts w:ascii="仿宋" w:hAnsi="仿宋" w:eastAsia="仿宋" w:cs="仿宋"/>
          <w:color w:val="000000"/>
          <w:spacing w:val="2"/>
          <w:sz w:val="24"/>
        </w:rPr>
        <w:t>，投标</w:t>
      </w:r>
      <w:r>
        <w:rPr>
          <w:rFonts w:hint="eastAsia" w:ascii="仿宋" w:hAnsi="仿宋" w:eastAsia="仿宋" w:cs="仿宋"/>
          <w:color w:val="000000"/>
          <w:spacing w:val="2"/>
          <w:sz w:val="24"/>
        </w:rPr>
        <w:t>阶段</w:t>
      </w:r>
      <w:r>
        <w:rPr>
          <w:rFonts w:ascii="仿宋" w:hAnsi="仿宋" w:eastAsia="仿宋" w:cs="仿宋"/>
          <w:color w:val="000000"/>
          <w:spacing w:val="2"/>
          <w:sz w:val="24"/>
        </w:rPr>
        <w:t>和合同签订阶段如何规避风险；</w:t>
      </w:r>
    </w:p>
    <w:p w14:paraId="402A9F3C">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 xml:space="preserve">9.工程总承包合同计价方式分析；国际工程总承包合同计价模式；国内工程总承包合同计价模式的政策规定（国家、地方），现实中的计价模式；对总价合同、费率合同、单价合同的适用性分析；总价合同与审计； </w:t>
      </w:r>
    </w:p>
    <w:p w14:paraId="3E2B8B6D">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10.工程总承包合同调价方式。信息价调价与权重法调价，适用的合同形式、合同文件约定、招标文件规定；</w:t>
      </w:r>
    </w:p>
    <w:p w14:paraId="2790AB24">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11.评标办法、投标时间、评委组成及人数等规定；</w:t>
      </w:r>
    </w:p>
    <w:p w14:paraId="7402560C">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12.工程总承包项目的分包方式合规性分析</w:t>
      </w:r>
      <w:r>
        <w:rPr>
          <w:rFonts w:hint="eastAsia" w:ascii="仿宋" w:hAnsi="仿宋" w:eastAsia="仿宋" w:cs="宋体"/>
          <w:color w:val="000000"/>
          <w:spacing w:val="2"/>
          <w:sz w:val="24"/>
        </w:rPr>
        <w:t>；</w:t>
      </w:r>
    </w:p>
    <w:p w14:paraId="51B04A60">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rPr>
        <w:t>1</w:t>
      </w:r>
      <w:r>
        <w:rPr>
          <w:rFonts w:ascii="仿宋" w:hAnsi="仿宋" w:eastAsia="仿宋" w:cs="仿宋"/>
          <w:color w:val="000000"/>
          <w:spacing w:val="2"/>
          <w:sz w:val="24"/>
        </w:rPr>
        <w:t>3.</w:t>
      </w:r>
      <w:r>
        <w:rPr>
          <w:rFonts w:hint="eastAsia" w:ascii="仿宋" w:hAnsi="仿宋" w:eastAsia="仿宋" w:cs="仿宋"/>
          <w:color w:val="000000"/>
          <w:spacing w:val="2"/>
          <w:sz w:val="24"/>
        </w:rPr>
        <w:t>验收审计阶段，工程总承包项目与施工总承包项目在验收审计阶段的差异，验收审计内容、依据、资产形成等，打开审计规定及存在问题</w:t>
      </w:r>
      <w:r>
        <w:rPr>
          <w:rFonts w:hint="eastAsia" w:ascii="仿宋" w:hAnsi="仿宋" w:eastAsia="仿宋" w:cs="宋体"/>
          <w:color w:val="000000"/>
          <w:spacing w:val="2"/>
          <w:sz w:val="24"/>
        </w:rPr>
        <w:t>。</w:t>
      </w:r>
    </w:p>
    <w:p w14:paraId="18ABFFA0">
      <w:pPr>
        <w:spacing w:line="400" w:lineRule="exact"/>
        <w:ind w:right="84" w:rightChars="38" w:firstLine="490" w:firstLineChars="200"/>
        <w:jc w:val="both"/>
        <w:rPr>
          <w:rFonts w:ascii="仿宋" w:hAnsi="仿宋" w:eastAsia="仿宋" w:cs="仿宋"/>
          <w:b/>
          <w:bCs/>
          <w:color w:val="000000"/>
          <w:spacing w:val="2"/>
          <w:sz w:val="24"/>
        </w:rPr>
      </w:pPr>
      <w:r>
        <w:rPr>
          <w:rFonts w:hint="eastAsia" w:ascii="仿宋" w:hAnsi="仿宋" w:eastAsia="仿宋" w:cs="仿宋"/>
          <w:b/>
          <w:bCs/>
          <w:color w:val="000000"/>
          <w:spacing w:val="2"/>
          <w:sz w:val="24"/>
        </w:rPr>
        <w:t>（二）工程建设项目招投标法律法规规定及案例分析</w:t>
      </w:r>
    </w:p>
    <w:p w14:paraId="197A5AF2">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结合《招标投标法》及相关政策、《政府采购法》及相关政策、《机电产品国际招标投标实施办法（试行）》等，对工程建设项目涉及的招标采购规定予以归纳总结。具体包括：</w:t>
      </w:r>
    </w:p>
    <w:p w14:paraId="05FFA3C6">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1.必须招标的项目</w:t>
      </w:r>
      <w:r>
        <w:rPr>
          <w:rFonts w:hint="eastAsia" w:ascii="仿宋" w:hAnsi="仿宋" w:eastAsia="仿宋" w:cs="仿宋"/>
          <w:color w:val="000000"/>
          <w:spacing w:val="2"/>
          <w:sz w:val="24"/>
        </w:rPr>
        <w:t>类型、范围、规模标准；</w:t>
      </w:r>
    </w:p>
    <w:p w14:paraId="3B3A9CB3">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2</w:t>
      </w:r>
      <w:r>
        <w:rPr>
          <w:rFonts w:hint="eastAsia" w:ascii="仿宋" w:hAnsi="仿宋" w:eastAsia="仿宋" w:cs="仿宋"/>
          <w:color w:val="000000"/>
          <w:spacing w:val="2"/>
          <w:sz w:val="24"/>
        </w:rPr>
        <w:t>.</w:t>
      </w:r>
      <w:r>
        <w:rPr>
          <w:rFonts w:ascii="仿宋" w:hAnsi="仿宋" w:eastAsia="仿宋" w:cs="仿宋"/>
          <w:color w:val="000000"/>
          <w:spacing w:val="2"/>
          <w:sz w:val="24"/>
        </w:rPr>
        <w:t>可以不招标的情形</w:t>
      </w:r>
      <w:r>
        <w:rPr>
          <w:rFonts w:hint="eastAsia" w:ascii="仿宋" w:hAnsi="仿宋" w:eastAsia="仿宋" w:cs="仿宋"/>
          <w:color w:val="000000"/>
          <w:spacing w:val="2"/>
          <w:sz w:val="24"/>
        </w:rPr>
        <w:t>；</w:t>
      </w:r>
    </w:p>
    <w:p w14:paraId="529A5A97">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3</w:t>
      </w:r>
      <w:r>
        <w:rPr>
          <w:rFonts w:hint="eastAsia" w:ascii="仿宋" w:hAnsi="仿宋" w:eastAsia="仿宋" w:cs="仿宋"/>
          <w:color w:val="000000"/>
          <w:spacing w:val="2"/>
          <w:sz w:val="24"/>
        </w:rPr>
        <w:t>.</w:t>
      </w:r>
      <w:r>
        <w:rPr>
          <w:rFonts w:ascii="仿宋" w:hAnsi="仿宋" w:eastAsia="仿宋" w:cs="仿宋"/>
          <w:color w:val="000000"/>
          <w:spacing w:val="2"/>
          <w:sz w:val="24"/>
        </w:rPr>
        <w:t>可以</w:t>
      </w:r>
      <w:r>
        <w:rPr>
          <w:rFonts w:hint="eastAsia" w:ascii="仿宋" w:hAnsi="仿宋" w:eastAsia="仿宋" w:cs="仿宋"/>
          <w:color w:val="000000"/>
          <w:spacing w:val="2"/>
          <w:sz w:val="24"/>
        </w:rPr>
        <w:t>采取</w:t>
      </w:r>
      <w:r>
        <w:rPr>
          <w:rFonts w:ascii="仿宋" w:hAnsi="仿宋" w:eastAsia="仿宋" w:cs="仿宋"/>
          <w:color w:val="000000"/>
          <w:spacing w:val="2"/>
          <w:sz w:val="24"/>
        </w:rPr>
        <w:t>邀请招标</w:t>
      </w:r>
      <w:r>
        <w:rPr>
          <w:rFonts w:hint="eastAsia" w:ascii="仿宋" w:hAnsi="仿宋" w:eastAsia="仿宋" w:cs="仿宋"/>
          <w:color w:val="000000"/>
          <w:spacing w:val="2"/>
          <w:sz w:val="24"/>
        </w:rPr>
        <w:t>方式的情形；</w:t>
      </w:r>
    </w:p>
    <w:p w14:paraId="049A8558">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rPr>
        <w:t>4</w:t>
      </w:r>
      <w:r>
        <w:rPr>
          <w:rFonts w:ascii="仿宋" w:hAnsi="仿宋" w:eastAsia="仿宋" w:cs="仿宋"/>
          <w:color w:val="000000"/>
          <w:spacing w:val="2"/>
          <w:sz w:val="24"/>
        </w:rPr>
        <w:t>.</w:t>
      </w:r>
      <w:r>
        <w:rPr>
          <w:rFonts w:hint="eastAsia" w:ascii="仿宋" w:hAnsi="仿宋" w:eastAsia="仿宋" w:cs="仿宋"/>
          <w:color w:val="000000"/>
          <w:spacing w:val="2"/>
          <w:sz w:val="24"/>
        </w:rPr>
        <w:t>其他采购方式；</w:t>
      </w:r>
    </w:p>
    <w:p w14:paraId="06922B5A">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5</w:t>
      </w:r>
      <w:r>
        <w:rPr>
          <w:rFonts w:hint="eastAsia" w:ascii="仿宋" w:hAnsi="仿宋" w:eastAsia="仿宋" w:cs="仿宋"/>
          <w:color w:val="000000"/>
          <w:spacing w:val="2"/>
          <w:sz w:val="24"/>
        </w:rPr>
        <w:t>.在《招标投标法》体系下，</w:t>
      </w:r>
      <w:r>
        <w:rPr>
          <w:rFonts w:ascii="仿宋" w:hAnsi="仿宋" w:eastAsia="仿宋" w:cs="仿宋"/>
          <w:color w:val="000000"/>
          <w:spacing w:val="2"/>
          <w:sz w:val="24"/>
        </w:rPr>
        <w:t>自愿招标项目</w:t>
      </w:r>
      <w:r>
        <w:rPr>
          <w:rFonts w:hint="eastAsia" w:ascii="仿宋" w:hAnsi="仿宋" w:eastAsia="仿宋" w:cs="仿宋"/>
          <w:color w:val="000000"/>
          <w:spacing w:val="2"/>
          <w:sz w:val="24"/>
        </w:rPr>
        <w:t>与</w:t>
      </w:r>
      <w:r>
        <w:rPr>
          <w:rFonts w:ascii="仿宋" w:hAnsi="仿宋" w:eastAsia="仿宋" w:cs="仿宋"/>
          <w:color w:val="000000"/>
          <w:spacing w:val="2"/>
          <w:sz w:val="24"/>
        </w:rPr>
        <w:t>依法必招项目</w:t>
      </w:r>
      <w:r>
        <w:rPr>
          <w:rFonts w:hint="eastAsia" w:ascii="仿宋" w:hAnsi="仿宋" w:eastAsia="仿宋" w:cs="仿宋"/>
          <w:color w:val="000000"/>
          <w:spacing w:val="2"/>
          <w:sz w:val="24"/>
        </w:rPr>
        <w:t>存在哪些不同；</w:t>
      </w:r>
    </w:p>
    <w:p w14:paraId="6A0480FE">
      <w:pPr>
        <w:spacing w:line="400" w:lineRule="exact"/>
        <w:ind w:right="84" w:rightChars="38" w:firstLine="488" w:firstLineChars="200"/>
        <w:jc w:val="both"/>
        <w:rPr>
          <w:rFonts w:hint="eastAsia" w:ascii="仿宋" w:hAnsi="仿宋" w:eastAsia="仿宋" w:cs="仿宋"/>
          <w:color w:val="000000"/>
          <w:spacing w:val="2"/>
          <w:sz w:val="24"/>
        </w:rPr>
      </w:pPr>
      <w:r>
        <w:rPr>
          <w:rFonts w:ascii="仿宋" w:hAnsi="仿宋" w:eastAsia="仿宋" w:cs="仿宋"/>
          <w:color w:val="000000"/>
          <w:spacing w:val="2"/>
          <w:sz w:val="24"/>
        </w:rPr>
        <w:t>6.</w:t>
      </w:r>
      <w:r>
        <w:rPr>
          <w:rFonts w:hint="eastAsia" w:ascii="仿宋" w:hAnsi="仿宋" w:eastAsia="仿宋" w:cs="仿宋"/>
          <w:color w:val="000000"/>
          <w:spacing w:val="2"/>
          <w:sz w:val="24"/>
        </w:rPr>
        <w:t>关于暂估价工程招标规定；</w:t>
      </w:r>
    </w:p>
    <w:p w14:paraId="3095BCAA">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7</w:t>
      </w:r>
      <w:r>
        <w:rPr>
          <w:rFonts w:hint="eastAsia" w:ascii="仿宋" w:hAnsi="仿宋" w:eastAsia="仿宋" w:cs="仿宋"/>
          <w:color w:val="000000"/>
          <w:spacing w:val="2"/>
          <w:sz w:val="24"/>
        </w:rPr>
        <w:t>.结合住房和城乡建设部关于印发《建筑工程施工发包与承包违法行为认定查处管理办法》的通知（建市规〔</w:t>
      </w:r>
      <w:r>
        <w:rPr>
          <w:rFonts w:ascii="仿宋" w:hAnsi="仿宋" w:eastAsia="仿宋" w:cs="仿宋"/>
          <w:color w:val="000000"/>
          <w:spacing w:val="2"/>
          <w:sz w:val="24"/>
        </w:rPr>
        <w:t>2019〕1号）</w:t>
      </w:r>
      <w:r>
        <w:rPr>
          <w:rFonts w:hint="eastAsia" w:ascii="仿宋" w:hAnsi="仿宋" w:eastAsia="仿宋" w:cs="仿宋"/>
          <w:color w:val="000000"/>
          <w:spacing w:val="2"/>
          <w:sz w:val="24"/>
        </w:rPr>
        <w:t>，对四种违法行为的认定；</w:t>
      </w:r>
    </w:p>
    <w:p w14:paraId="7B739C99">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8</w:t>
      </w:r>
      <w:r>
        <w:rPr>
          <w:rFonts w:hint="eastAsia" w:ascii="仿宋" w:hAnsi="仿宋" w:eastAsia="仿宋" w:cs="仿宋"/>
          <w:color w:val="000000"/>
          <w:spacing w:val="2"/>
          <w:sz w:val="24"/>
        </w:rPr>
        <w:t>.</w:t>
      </w:r>
      <w:r>
        <w:rPr>
          <w:rFonts w:ascii="仿宋" w:hAnsi="仿宋" w:eastAsia="仿宋" w:cs="仿宋"/>
          <w:color w:val="000000"/>
          <w:spacing w:val="2"/>
          <w:sz w:val="24"/>
        </w:rPr>
        <w:t xml:space="preserve"> </w:t>
      </w:r>
      <w:r>
        <w:rPr>
          <w:rFonts w:hint="eastAsia" w:ascii="仿宋" w:hAnsi="仿宋" w:eastAsia="仿宋" w:cs="仿宋"/>
          <w:color w:val="000000"/>
          <w:spacing w:val="2"/>
          <w:sz w:val="24"/>
        </w:rPr>
        <w:t>一些</w:t>
      </w:r>
      <w:r>
        <w:rPr>
          <w:rFonts w:ascii="仿宋" w:hAnsi="仿宋" w:eastAsia="仿宋" w:cs="仿宋"/>
          <w:color w:val="000000"/>
          <w:spacing w:val="2"/>
          <w:sz w:val="24"/>
        </w:rPr>
        <w:t>常见招投标问题分析</w:t>
      </w:r>
      <w:r>
        <w:rPr>
          <w:rFonts w:hint="eastAsia" w:ascii="仿宋" w:hAnsi="仿宋" w:eastAsia="仿宋" w:cs="仿宋"/>
          <w:color w:val="000000"/>
          <w:spacing w:val="2"/>
          <w:sz w:val="24"/>
        </w:rPr>
        <w:t>；</w:t>
      </w:r>
    </w:p>
    <w:p w14:paraId="1D4B876E">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9</w:t>
      </w:r>
      <w:r>
        <w:rPr>
          <w:rFonts w:hint="eastAsia" w:ascii="仿宋" w:hAnsi="仿宋" w:eastAsia="仿宋" w:cs="仿宋"/>
          <w:color w:val="000000"/>
          <w:spacing w:val="2"/>
          <w:sz w:val="24"/>
        </w:rPr>
        <w:t>.</w:t>
      </w:r>
      <w:r>
        <w:rPr>
          <w:rFonts w:ascii="仿宋" w:hAnsi="仿宋" w:eastAsia="仿宋" w:cs="仿宋"/>
          <w:color w:val="000000"/>
          <w:spacing w:val="2"/>
          <w:sz w:val="24"/>
        </w:rPr>
        <w:t xml:space="preserve"> 国家发展改革委集中解答招投标疑难问题</w:t>
      </w:r>
      <w:r>
        <w:rPr>
          <w:rFonts w:hint="eastAsia" w:ascii="仿宋" w:hAnsi="仿宋" w:eastAsia="仿宋" w:cs="仿宋"/>
          <w:color w:val="000000"/>
          <w:spacing w:val="2"/>
          <w:sz w:val="24"/>
        </w:rPr>
        <w:t>；</w:t>
      </w:r>
    </w:p>
    <w:p w14:paraId="75974586">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10</w:t>
      </w:r>
      <w:r>
        <w:rPr>
          <w:rFonts w:hint="eastAsia" w:ascii="仿宋" w:hAnsi="仿宋" w:eastAsia="仿宋" w:cs="仿宋"/>
          <w:color w:val="000000"/>
          <w:spacing w:val="2"/>
          <w:sz w:val="24"/>
        </w:rPr>
        <w:t>.</w:t>
      </w:r>
      <w:r>
        <w:rPr>
          <w:rFonts w:ascii="仿宋" w:hAnsi="仿宋" w:eastAsia="仿宋" w:cs="仿宋"/>
          <w:color w:val="000000"/>
          <w:spacing w:val="2"/>
          <w:sz w:val="24"/>
        </w:rPr>
        <w:t xml:space="preserve"> </w:t>
      </w:r>
      <w:r>
        <w:rPr>
          <w:rFonts w:hint="eastAsia" w:ascii="仿宋" w:hAnsi="仿宋" w:eastAsia="仿宋" w:cs="仿宋"/>
          <w:color w:val="000000"/>
          <w:spacing w:val="2"/>
          <w:sz w:val="24"/>
        </w:rPr>
        <w:t>工程建设项目验收发现的招投标问题及案例分析。</w:t>
      </w:r>
    </w:p>
    <w:p w14:paraId="04D94C88">
      <w:pPr>
        <w:spacing w:line="400" w:lineRule="exact"/>
        <w:ind w:right="84" w:rightChars="38" w:firstLine="490" w:firstLineChars="200"/>
        <w:jc w:val="both"/>
        <w:rPr>
          <w:rFonts w:ascii="仿宋" w:hAnsi="仿宋" w:eastAsia="仿宋" w:cs="仿宋"/>
          <w:b/>
          <w:bCs/>
          <w:color w:val="000000"/>
          <w:spacing w:val="2"/>
          <w:sz w:val="24"/>
        </w:rPr>
      </w:pPr>
      <w:r>
        <w:rPr>
          <w:rFonts w:hint="eastAsia" w:ascii="仿宋" w:hAnsi="仿宋" w:eastAsia="仿宋" w:cs="宋体"/>
          <w:b/>
          <w:bCs/>
          <w:color w:val="000000"/>
          <w:spacing w:val="2"/>
          <w:sz w:val="24"/>
        </w:rPr>
        <w:t>（三）法律法规、司法解释相关规定与合同结算</w:t>
      </w:r>
    </w:p>
    <w:p w14:paraId="4BFBEA7A">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1</w:t>
      </w:r>
      <w:r>
        <w:rPr>
          <w:rFonts w:ascii="仿宋" w:hAnsi="仿宋" w:eastAsia="仿宋" w:cs="仿宋"/>
          <w:color w:val="000000"/>
          <w:spacing w:val="2"/>
          <w:sz w:val="24"/>
        </w:rPr>
        <w:t>.</w:t>
      </w:r>
      <w:r>
        <w:rPr>
          <w:rFonts w:hint="eastAsia" w:ascii="仿宋" w:hAnsi="仿宋" w:eastAsia="仿宋" w:cs="仿宋"/>
          <w:color w:val="000000"/>
          <w:spacing w:val="2"/>
          <w:sz w:val="24"/>
        </w:rPr>
        <w:t>合同无效情形，</w:t>
      </w:r>
      <w:r>
        <w:rPr>
          <w:rFonts w:hint="eastAsia" w:ascii="仿宋" w:hAnsi="仿宋" w:eastAsia="仿宋" w:cs="宋体"/>
          <w:color w:val="000000"/>
          <w:spacing w:val="2"/>
          <w:sz w:val="24"/>
        </w:rPr>
        <w:t>总结基于违反《招投标法》和《建筑法》《民法典》等法律法规的合同无效情形</w:t>
      </w:r>
      <w:r>
        <w:rPr>
          <w:rFonts w:hint="eastAsia" w:ascii="仿宋" w:hAnsi="仿宋" w:eastAsia="仿宋" w:cs="仿宋"/>
          <w:color w:val="000000"/>
          <w:spacing w:val="2"/>
          <w:sz w:val="24"/>
        </w:rPr>
        <w:t>；</w:t>
      </w:r>
    </w:p>
    <w:p w14:paraId="4D7C4FF0">
      <w:pPr>
        <w:spacing w:line="400" w:lineRule="exact"/>
        <w:ind w:right="84" w:rightChars="38" w:firstLine="488" w:firstLineChars="200"/>
        <w:jc w:val="both"/>
        <w:rPr>
          <w:rFonts w:ascii="仿宋" w:hAnsi="仿宋" w:eastAsia="仿宋" w:cs="宋体"/>
          <w:color w:val="000000"/>
          <w:spacing w:val="2"/>
          <w:sz w:val="24"/>
        </w:rPr>
      </w:pPr>
      <w:r>
        <w:rPr>
          <w:rFonts w:hint="eastAsia" w:ascii="仿宋" w:hAnsi="仿宋" w:eastAsia="仿宋" w:cs="仿宋"/>
          <w:color w:val="000000"/>
          <w:spacing w:val="2"/>
          <w:sz w:val="24"/>
        </w:rPr>
        <w:t>2</w:t>
      </w:r>
      <w:r>
        <w:rPr>
          <w:rFonts w:ascii="仿宋" w:hAnsi="仿宋" w:eastAsia="仿宋" w:cs="仿宋"/>
          <w:color w:val="000000"/>
          <w:spacing w:val="2"/>
          <w:sz w:val="24"/>
        </w:rPr>
        <w:t>.</w:t>
      </w:r>
      <w:r>
        <w:rPr>
          <w:rFonts w:hint="eastAsia" w:ascii="仿宋" w:hAnsi="仿宋" w:eastAsia="仿宋" w:cs="仿宋"/>
          <w:color w:val="000000"/>
          <w:spacing w:val="2"/>
          <w:sz w:val="24"/>
        </w:rPr>
        <w:t>依法招标项目合同的实质性内容；</w:t>
      </w:r>
      <w:r>
        <w:rPr>
          <w:rFonts w:hint="eastAsia" w:ascii="仿宋" w:hAnsi="仿宋" w:eastAsia="仿宋" w:cs="宋体"/>
          <w:color w:val="000000"/>
          <w:spacing w:val="2"/>
          <w:sz w:val="24"/>
        </w:rPr>
        <w:t>非依法必招项目的区别；</w:t>
      </w:r>
    </w:p>
    <w:p w14:paraId="75255A65">
      <w:pPr>
        <w:spacing w:line="400" w:lineRule="exact"/>
        <w:ind w:right="84" w:rightChars="38" w:firstLine="488" w:firstLineChars="200"/>
        <w:jc w:val="both"/>
        <w:rPr>
          <w:rFonts w:hint="eastAsia" w:ascii="仿宋" w:hAnsi="仿宋" w:eastAsia="仿宋" w:cs="宋体"/>
          <w:color w:val="000000"/>
          <w:spacing w:val="2"/>
          <w:sz w:val="24"/>
        </w:rPr>
      </w:pPr>
      <w:r>
        <w:rPr>
          <w:rFonts w:hint="eastAsia" w:ascii="仿宋" w:hAnsi="仿宋" w:eastAsia="仿宋" w:cs="宋体"/>
          <w:color w:val="000000"/>
          <w:spacing w:val="2"/>
          <w:sz w:val="24"/>
        </w:rPr>
        <w:t>3</w:t>
      </w:r>
      <w:r>
        <w:rPr>
          <w:rFonts w:ascii="仿宋" w:hAnsi="仿宋" w:eastAsia="仿宋" w:cs="宋体"/>
          <w:color w:val="000000"/>
          <w:spacing w:val="2"/>
          <w:sz w:val="24"/>
        </w:rPr>
        <w:t>.</w:t>
      </w:r>
      <w:r>
        <w:rPr>
          <w:rFonts w:hint="eastAsia" w:ascii="仿宋" w:hAnsi="仿宋" w:eastAsia="仿宋" w:cs="宋体"/>
          <w:color w:val="000000"/>
          <w:spacing w:val="2"/>
          <w:sz w:val="24"/>
        </w:rPr>
        <w:t>合同无效后的结算规定；</w:t>
      </w:r>
    </w:p>
    <w:p w14:paraId="46240F86">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宋体"/>
          <w:color w:val="000000"/>
          <w:spacing w:val="2"/>
          <w:sz w:val="24"/>
        </w:rPr>
        <w:t>4</w:t>
      </w:r>
      <w:r>
        <w:rPr>
          <w:rFonts w:ascii="仿宋" w:hAnsi="仿宋" w:eastAsia="仿宋" w:cs="仿宋"/>
          <w:color w:val="000000"/>
          <w:spacing w:val="2"/>
          <w:sz w:val="24"/>
        </w:rPr>
        <w:t>.</w:t>
      </w:r>
      <w:r>
        <w:rPr>
          <w:rFonts w:hint="eastAsia" w:ascii="仿宋" w:hAnsi="仿宋" w:eastAsia="仿宋" w:cs="仿宋"/>
          <w:color w:val="000000"/>
          <w:spacing w:val="2"/>
          <w:sz w:val="24"/>
        </w:rPr>
        <w:t>总价合同结算管理、造价鉴定；</w:t>
      </w:r>
    </w:p>
    <w:p w14:paraId="18D4234D">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5</w:t>
      </w:r>
      <w:r>
        <w:rPr>
          <w:rFonts w:ascii="仿宋" w:hAnsi="仿宋" w:eastAsia="仿宋" w:cs="仿宋"/>
          <w:color w:val="000000"/>
          <w:spacing w:val="2"/>
          <w:sz w:val="24"/>
        </w:rPr>
        <w:t>.</w:t>
      </w:r>
      <w:r>
        <w:rPr>
          <w:rFonts w:hint="eastAsia" w:ascii="仿宋" w:hAnsi="仿宋" w:eastAsia="仿宋" w:cs="仿宋"/>
          <w:color w:val="000000"/>
          <w:spacing w:val="2"/>
          <w:sz w:val="24"/>
        </w:rPr>
        <w:t>中标合同、默示条款、不可抗力规定及其应用理解；</w:t>
      </w:r>
    </w:p>
    <w:p w14:paraId="6F311ADF">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6</w:t>
      </w:r>
      <w:r>
        <w:rPr>
          <w:rFonts w:ascii="仿宋" w:hAnsi="仿宋" w:eastAsia="仿宋" w:cs="仿宋"/>
          <w:color w:val="000000"/>
          <w:spacing w:val="2"/>
          <w:sz w:val="24"/>
        </w:rPr>
        <w:t>.</w:t>
      </w:r>
      <w:r>
        <w:rPr>
          <w:rFonts w:hint="eastAsia" w:ascii="仿宋" w:hAnsi="仿宋" w:eastAsia="仿宋" w:cs="仿宋"/>
          <w:color w:val="000000"/>
          <w:spacing w:val="2"/>
          <w:sz w:val="24"/>
        </w:rPr>
        <w:t>情势变更原则、情势变更中的“重大变化”的理解分析；</w:t>
      </w:r>
    </w:p>
    <w:p w14:paraId="40EB2AFA">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rPr>
        <w:t>7</w:t>
      </w:r>
      <w:r>
        <w:rPr>
          <w:rFonts w:ascii="仿宋" w:hAnsi="仿宋" w:eastAsia="仿宋" w:cs="仿宋"/>
          <w:color w:val="000000"/>
          <w:spacing w:val="2"/>
          <w:sz w:val="24"/>
        </w:rPr>
        <w:t>.</w:t>
      </w:r>
      <w:r>
        <w:rPr>
          <w:rFonts w:hint="eastAsia" w:ascii="仿宋" w:hAnsi="仿宋" w:eastAsia="仿宋" w:cs="仿宋"/>
          <w:color w:val="000000"/>
          <w:spacing w:val="2"/>
          <w:sz w:val="24"/>
        </w:rPr>
        <w:t>关于交易习惯、格式条款的规定及对合同结算的影响；</w:t>
      </w:r>
    </w:p>
    <w:p w14:paraId="50725BF6">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8.</w:t>
      </w:r>
      <w:r>
        <w:rPr>
          <w:rFonts w:hint="eastAsia" w:ascii="仿宋" w:hAnsi="仿宋" w:eastAsia="仿宋" w:cs="仿宋"/>
          <w:color w:val="000000"/>
          <w:spacing w:val="2"/>
          <w:sz w:val="24"/>
        </w:rPr>
        <w:t>变更与索赔的对比分析及对合同结算的影响分析；</w:t>
      </w:r>
    </w:p>
    <w:p w14:paraId="12579C9F">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rPr>
        <w:t>9</w:t>
      </w:r>
      <w:r>
        <w:rPr>
          <w:rFonts w:ascii="仿宋" w:hAnsi="仿宋" w:eastAsia="仿宋" w:cs="仿宋"/>
          <w:color w:val="000000"/>
          <w:spacing w:val="2"/>
          <w:sz w:val="24"/>
        </w:rPr>
        <w:t>.</w:t>
      </w:r>
      <w:r>
        <w:rPr>
          <w:rFonts w:hint="eastAsia" w:ascii="仿宋" w:hAnsi="仿宋" w:eastAsia="仿宋" w:cs="仿宋"/>
          <w:color w:val="000000"/>
          <w:spacing w:val="2"/>
          <w:sz w:val="24"/>
        </w:rPr>
        <w:t>预期可得利润的理解分析；</w:t>
      </w:r>
    </w:p>
    <w:p w14:paraId="5F6EAF5D">
      <w:pPr>
        <w:spacing w:line="400" w:lineRule="exact"/>
        <w:ind w:right="84" w:rightChars="38" w:firstLine="490" w:firstLineChars="200"/>
        <w:jc w:val="both"/>
        <w:rPr>
          <w:rFonts w:ascii="仿宋" w:hAnsi="仿宋" w:eastAsia="仿宋" w:cs="仿宋"/>
          <w:b/>
          <w:bCs/>
          <w:color w:val="000000"/>
          <w:spacing w:val="2"/>
          <w:sz w:val="24"/>
        </w:rPr>
      </w:pPr>
      <w:r>
        <w:rPr>
          <w:rFonts w:hint="eastAsia" w:ascii="仿宋" w:hAnsi="仿宋" w:eastAsia="仿宋" w:cs="仿宋"/>
          <w:b/>
          <w:bCs/>
          <w:color w:val="000000"/>
          <w:spacing w:val="2"/>
          <w:sz w:val="24"/>
        </w:rPr>
        <w:t>（四）不同情形下《发包人要求》的辨别与案例分析</w:t>
      </w:r>
    </w:p>
    <w:p w14:paraId="13FBAE9B">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1</w:t>
      </w:r>
      <w:r>
        <w:rPr>
          <w:rFonts w:ascii="仿宋" w:hAnsi="仿宋" w:eastAsia="仿宋" w:cs="仿宋"/>
          <w:color w:val="000000"/>
          <w:spacing w:val="2"/>
          <w:sz w:val="24"/>
        </w:rPr>
        <w:t>.</w:t>
      </w:r>
      <w:r>
        <w:rPr>
          <w:rFonts w:hint="eastAsia" w:ascii="仿宋" w:hAnsi="仿宋" w:eastAsia="仿宋" w:cs="仿宋"/>
          <w:color w:val="000000"/>
          <w:spacing w:val="2"/>
          <w:sz w:val="24"/>
        </w:rPr>
        <w:t>对《发包人要求》重要性的认识，对报价、合同变更、施工图设计、验收审计的影响分析；</w:t>
      </w:r>
    </w:p>
    <w:p w14:paraId="5B247C1C">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2</w:t>
      </w:r>
      <w:r>
        <w:rPr>
          <w:rFonts w:ascii="仿宋" w:hAnsi="仿宋" w:eastAsia="仿宋" w:cs="仿宋"/>
          <w:color w:val="000000"/>
          <w:spacing w:val="2"/>
          <w:sz w:val="24"/>
        </w:rPr>
        <w:t>.</w:t>
      </w:r>
      <w:r>
        <w:rPr>
          <w:rFonts w:hint="eastAsia" w:ascii="仿宋" w:hAnsi="仿宋" w:eastAsia="仿宋" w:cs="仿宋"/>
          <w:color w:val="000000"/>
          <w:spacing w:val="2"/>
          <w:sz w:val="24"/>
        </w:rPr>
        <w:t>《发包人要求》的辨别：与“承包人建议书”“投标方案”、“批复的初步设计文件”、确认的首版施工图、施工</w:t>
      </w:r>
      <w:r>
        <w:rPr>
          <w:rFonts w:hint="eastAsia" w:ascii="仿宋" w:hAnsi="仿宋" w:eastAsia="仿宋" w:cs="仿宋"/>
          <w:color w:val="000000"/>
          <w:spacing w:val="2"/>
          <w:sz w:val="24"/>
          <w:lang w:val="en-US" w:eastAsia="zh-CN"/>
        </w:rPr>
        <w:t>图</w:t>
      </w:r>
      <w:r>
        <w:rPr>
          <w:rFonts w:hint="eastAsia" w:ascii="仿宋" w:hAnsi="仿宋" w:eastAsia="仿宋" w:cs="仿宋"/>
          <w:color w:val="000000"/>
          <w:spacing w:val="2"/>
          <w:sz w:val="24"/>
        </w:rPr>
        <w:t>设计变更、竣工图的区别；</w:t>
      </w:r>
    </w:p>
    <w:p w14:paraId="13F0DD4E">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3</w:t>
      </w:r>
      <w:r>
        <w:rPr>
          <w:rFonts w:ascii="仿宋" w:hAnsi="仿宋" w:eastAsia="仿宋" w:cs="仿宋"/>
          <w:color w:val="000000"/>
          <w:spacing w:val="2"/>
          <w:sz w:val="24"/>
        </w:rPr>
        <w:t>.</w:t>
      </w:r>
      <w:r>
        <w:rPr>
          <w:rFonts w:hint="eastAsia" w:ascii="仿宋" w:hAnsi="仿宋" w:eastAsia="仿宋" w:cs="仿宋"/>
          <w:color w:val="000000"/>
          <w:spacing w:val="2"/>
          <w:sz w:val="24"/>
        </w:rPr>
        <w:t>合同示范文本与规范的主要区别；</w:t>
      </w:r>
    </w:p>
    <w:p w14:paraId="480B9684">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4</w:t>
      </w:r>
      <w:r>
        <w:rPr>
          <w:rFonts w:ascii="仿宋" w:hAnsi="仿宋" w:eastAsia="仿宋" w:cs="仿宋"/>
          <w:color w:val="000000"/>
          <w:spacing w:val="2"/>
          <w:sz w:val="24"/>
        </w:rPr>
        <w:t>.</w:t>
      </w:r>
      <w:r>
        <w:rPr>
          <w:rFonts w:hint="eastAsia" w:ascii="仿宋" w:hAnsi="仿宋" w:eastAsia="仿宋" w:cs="仿宋"/>
          <w:color w:val="000000"/>
          <w:spacing w:val="2"/>
          <w:sz w:val="24"/>
        </w:rPr>
        <w:t>优化设计、设计优化、深化设计对结算的影响分析；</w:t>
      </w:r>
    </w:p>
    <w:p w14:paraId="6C70BB19">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rPr>
        <w:t>5</w:t>
      </w:r>
      <w:r>
        <w:rPr>
          <w:rFonts w:ascii="仿宋" w:hAnsi="仿宋" w:eastAsia="仿宋" w:cs="仿宋"/>
          <w:color w:val="000000"/>
          <w:spacing w:val="2"/>
          <w:sz w:val="24"/>
        </w:rPr>
        <w:t>.</w:t>
      </w:r>
      <w:r>
        <w:rPr>
          <w:rFonts w:hint="eastAsia" w:ascii="仿宋" w:hAnsi="仿宋" w:eastAsia="仿宋" w:cs="仿宋"/>
          <w:color w:val="000000"/>
          <w:spacing w:val="2"/>
          <w:sz w:val="24"/>
        </w:rPr>
        <w:t>多种情形下的案例分析。</w:t>
      </w:r>
    </w:p>
    <w:p w14:paraId="59FB56C7">
      <w:pPr>
        <w:spacing w:line="400" w:lineRule="exact"/>
        <w:ind w:right="84" w:rightChars="38" w:firstLine="490" w:firstLineChars="200"/>
        <w:jc w:val="both"/>
        <w:rPr>
          <w:rFonts w:ascii="仿宋" w:hAnsi="仿宋" w:eastAsia="仿宋" w:cs="仿宋"/>
          <w:b/>
          <w:bCs/>
          <w:color w:val="000000"/>
          <w:spacing w:val="2"/>
          <w:sz w:val="24"/>
        </w:rPr>
      </w:pPr>
      <w:r>
        <w:rPr>
          <w:rFonts w:hint="eastAsia" w:ascii="仿宋" w:hAnsi="仿宋" w:eastAsia="仿宋" w:cs="仿宋"/>
          <w:b/>
          <w:bCs/>
          <w:color w:val="000000"/>
          <w:spacing w:val="2"/>
          <w:sz w:val="24"/>
        </w:rPr>
        <w:t>（五）</w:t>
      </w:r>
      <w:r>
        <w:rPr>
          <w:rFonts w:ascii="仿宋" w:hAnsi="仿宋" w:eastAsia="仿宋" w:cs="仿宋"/>
          <w:b/>
          <w:bCs/>
          <w:color w:val="000000"/>
          <w:spacing w:val="2"/>
          <w:sz w:val="24"/>
        </w:rPr>
        <w:t>EPC 项目全过程造价管理与控制</w:t>
      </w:r>
    </w:p>
    <w:p w14:paraId="1A3CFD8B">
      <w:pPr>
        <w:spacing w:line="400" w:lineRule="exact"/>
        <w:ind w:right="84" w:rightChars="38" w:firstLine="488" w:firstLineChars="200"/>
        <w:jc w:val="both"/>
        <w:rPr>
          <w:rFonts w:hint="eastAsia" w:ascii="仿宋" w:hAnsi="仿宋" w:eastAsia="仿宋" w:cs="仿宋"/>
          <w:color w:val="000000"/>
          <w:spacing w:val="2"/>
          <w:sz w:val="24"/>
        </w:rPr>
      </w:pPr>
      <w:r>
        <w:rPr>
          <w:rFonts w:ascii="仿宋" w:hAnsi="仿宋" w:eastAsia="仿宋" w:cs="仿宋"/>
          <w:color w:val="000000"/>
          <w:spacing w:val="2"/>
          <w:sz w:val="24"/>
        </w:rPr>
        <w:t>1.EPC 项目全过程造价管控思路及架构；</w:t>
      </w:r>
      <w:r>
        <w:rPr>
          <w:rFonts w:hint="eastAsia" w:ascii="仿宋" w:hAnsi="仿宋" w:eastAsia="仿宋" w:cs="仿宋"/>
          <w:color w:val="000000"/>
          <w:spacing w:val="2"/>
          <w:sz w:val="24"/>
        </w:rPr>
        <w:t>成本控制体系及项目总结分析案例；</w:t>
      </w:r>
    </w:p>
    <w:p w14:paraId="30D76A87">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2.EPC 项目成本控制总目标、分目标的制定及要点；</w:t>
      </w:r>
    </w:p>
    <w:p w14:paraId="531E9D40">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3.以“限额设计”为手段的设计阶段造价控制流程、控制方法与控制要点；</w:t>
      </w:r>
    </w:p>
    <w:p w14:paraId="085BE966">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4.</w:t>
      </w:r>
      <w:r>
        <w:rPr>
          <w:rFonts w:hint="eastAsia" w:ascii="仿宋" w:hAnsi="仿宋" w:eastAsia="仿宋" w:cs="仿宋"/>
          <w:color w:val="000000"/>
          <w:spacing w:val="2"/>
          <w:sz w:val="24"/>
        </w:rPr>
        <w:t>设计工作对工程总承包实施及成本控制的作用分析；优化设计、设计优化及组织实施，合同规定及对结算的影响；</w:t>
      </w:r>
    </w:p>
    <w:p w14:paraId="29C0BE0C">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5.2024</w:t>
      </w:r>
      <w:r>
        <w:rPr>
          <w:rFonts w:hint="eastAsia" w:ascii="仿宋" w:hAnsi="仿宋" w:eastAsia="仿宋" w:cs="仿宋"/>
          <w:color w:val="000000"/>
          <w:spacing w:val="2"/>
          <w:sz w:val="24"/>
        </w:rPr>
        <w:t>清单计价标准与2</w:t>
      </w:r>
      <w:r>
        <w:rPr>
          <w:rFonts w:ascii="仿宋" w:hAnsi="仿宋" w:eastAsia="仿宋" w:cs="仿宋"/>
          <w:color w:val="000000"/>
          <w:spacing w:val="2"/>
          <w:sz w:val="24"/>
        </w:rPr>
        <w:t>013</w:t>
      </w:r>
      <w:r>
        <w:rPr>
          <w:rFonts w:hint="eastAsia" w:ascii="仿宋" w:hAnsi="仿宋" w:eastAsia="仿宋" w:cs="仿宋"/>
          <w:color w:val="000000"/>
          <w:spacing w:val="2"/>
          <w:sz w:val="24"/>
        </w:rPr>
        <w:t>清单计价规范相比的核心差异，包括标准性质、清单差异、计价差异、风险差异、安全生产措施费、变更、新增工程、控制价编制</w:t>
      </w:r>
      <w:r>
        <w:rPr>
          <w:rFonts w:hint="eastAsia" w:ascii="仿宋" w:hAnsi="仿宋" w:eastAsia="仿宋" w:cs="宋体"/>
          <w:color w:val="000000"/>
          <w:spacing w:val="2"/>
          <w:sz w:val="24"/>
        </w:rPr>
        <w:t>、澄清与说明</w:t>
      </w:r>
      <w:r>
        <w:rPr>
          <w:rFonts w:hint="eastAsia" w:ascii="仿宋" w:hAnsi="仿宋" w:eastAsia="仿宋" w:cs="仿宋"/>
          <w:color w:val="000000"/>
          <w:spacing w:val="2"/>
          <w:sz w:val="24"/>
        </w:rPr>
        <w:t>等，</w:t>
      </w:r>
      <w:r>
        <w:rPr>
          <w:rFonts w:hint="eastAsia" w:ascii="仿宋" w:hAnsi="仿宋" w:eastAsia="仿宋" w:cs="宋体"/>
          <w:color w:val="000000"/>
          <w:spacing w:val="2"/>
          <w:sz w:val="24"/>
        </w:rPr>
        <w:t>差异</w:t>
      </w:r>
      <w:r>
        <w:rPr>
          <w:rFonts w:hint="eastAsia" w:ascii="仿宋" w:hAnsi="仿宋" w:eastAsia="仿宋" w:cs="仿宋"/>
          <w:color w:val="000000"/>
          <w:spacing w:val="2"/>
          <w:sz w:val="24"/>
        </w:rPr>
        <w:t>对项目实施的影响分析；</w:t>
      </w:r>
    </w:p>
    <w:p w14:paraId="588382C8">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7.分包策划方案编制方法、合同计价方式选择及招标文件编制要点</w:t>
      </w:r>
      <w:r>
        <w:rPr>
          <w:rFonts w:hint="eastAsia" w:ascii="仿宋" w:hAnsi="仿宋" w:eastAsia="仿宋" w:cs="仿宋"/>
          <w:color w:val="000000"/>
          <w:spacing w:val="2"/>
          <w:sz w:val="24"/>
        </w:rPr>
        <w:t>，风险分配方式及传递</w:t>
      </w:r>
      <w:r>
        <w:rPr>
          <w:rFonts w:ascii="仿宋" w:hAnsi="仿宋" w:eastAsia="仿宋" w:cs="仿宋"/>
          <w:color w:val="000000"/>
          <w:spacing w:val="2"/>
          <w:sz w:val="24"/>
        </w:rPr>
        <w:t>；</w:t>
      </w:r>
    </w:p>
    <w:p w14:paraId="483D0706">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8.工程量清单编制要点与案例分析；</w:t>
      </w:r>
    </w:p>
    <w:p w14:paraId="7BA9ED91">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9.常见的投标报价问题、清标报告及清标发现问题的处理方案；</w:t>
      </w:r>
    </w:p>
    <w:p w14:paraId="410BD347">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10.分包合同签订中的风险分担方式、关注重点及案例分析；</w:t>
      </w:r>
    </w:p>
    <w:p w14:paraId="7DB53184">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11.分包合同中安全文明施工费的处理原则及案例分析；</w:t>
      </w:r>
    </w:p>
    <w:p w14:paraId="2B399648">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12.施工阶段“双向”变更洽商管理方法、流程及关注要点；</w:t>
      </w:r>
    </w:p>
    <w:p w14:paraId="5B470F69">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13.建设阶段施工方案对成本控制的影响分析及控制要点；</w:t>
      </w:r>
    </w:p>
    <w:p w14:paraId="08D1EC35">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14.项目实施阶段的动态成本控制模型与应用要点；</w:t>
      </w:r>
    </w:p>
    <w:p w14:paraId="785F6B4B">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15. EPC项目全过程造价管理与控制的信息化手段与实现；</w:t>
      </w:r>
    </w:p>
    <w:p w14:paraId="3E9B9EC4">
      <w:pPr>
        <w:spacing w:line="400" w:lineRule="exact"/>
        <w:ind w:right="84" w:rightChars="38" w:firstLine="488" w:firstLineChars="200"/>
        <w:jc w:val="both"/>
        <w:rPr>
          <w:rFonts w:hint="eastAsia" w:ascii="仿宋" w:hAnsi="仿宋" w:eastAsia="仿宋" w:cs="仿宋"/>
          <w:color w:val="000000"/>
          <w:spacing w:val="2"/>
          <w:sz w:val="24"/>
        </w:rPr>
      </w:pPr>
      <w:r>
        <w:rPr>
          <w:rFonts w:ascii="仿宋" w:hAnsi="仿宋" w:eastAsia="仿宋" w:cs="仿宋"/>
          <w:color w:val="000000"/>
          <w:spacing w:val="2"/>
          <w:sz w:val="24"/>
        </w:rPr>
        <w:t>16.全过程造价管理与控制典型案例解析。</w:t>
      </w:r>
    </w:p>
    <w:p w14:paraId="16416F13">
      <w:pPr>
        <w:spacing w:line="400" w:lineRule="exact"/>
        <w:ind w:right="84" w:rightChars="38" w:firstLine="490" w:firstLineChars="200"/>
        <w:jc w:val="both"/>
        <w:rPr>
          <w:rFonts w:ascii="仿宋" w:hAnsi="仿宋" w:eastAsia="仿宋" w:cs="仿宋"/>
          <w:b/>
          <w:bCs/>
          <w:color w:val="000000"/>
          <w:spacing w:val="2"/>
          <w:sz w:val="24"/>
        </w:rPr>
      </w:pPr>
      <w:r>
        <w:rPr>
          <w:rFonts w:hint="eastAsia" w:ascii="仿宋" w:hAnsi="仿宋" w:eastAsia="仿宋" w:cs="仿宋"/>
          <w:b/>
          <w:bCs/>
          <w:color w:val="000000"/>
          <w:spacing w:val="2"/>
          <w:sz w:val="24"/>
        </w:rPr>
        <w:t>（六）联合体承包</w:t>
      </w:r>
    </w:p>
    <w:p w14:paraId="341625C8">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1</w:t>
      </w:r>
      <w:r>
        <w:rPr>
          <w:rFonts w:ascii="仿宋" w:hAnsi="仿宋" w:eastAsia="仿宋" w:cs="仿宋"/>
          <w:color w:val="000000"/>
          <w:spacing w:val="2"/>
          <w:sz w:val="24"/>
        </w:rPr>
        <w:t>.</w:t>
      </w:r>
      <w:r>
        <w:rPr>
          <w:rFonts w:hint="eastAsia" w:ascii="仿宋" w:hAnsi="仿宋" w:eastAsia="仿宋" w:cs="仿宋"/>
          <w:color w:val="000000"/>
          <w:spacing w:val="2"/>
          <w:sz w:val="24"/>
        </w:rPr>
        <w:t>两种牵头方式及其对比分析；各自的优势、劣势；风险管理；</w:t>
      </w:r>
    </w:p>
    <w:p w14:paraId="66EF2567">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2.联合体的组织方式分析，职责分工及内部协调方式；</w:t>
      </w:r>
    </w:p>
    <w:p w14:paraId="33797D15">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3.以施工单位作为联合体牵头人需要关注的问题；</w:t>
      </w:r>
    </w:p>
    <w:p w14:paraId="67E8190C">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rPr>
        <w:t>4</w:t>
      </w:r>
      <w:r>
        <w:rPr>
          <w:rFonts w:ascii="仿宋" w:hAnsi="仿宋" w:eastAsia="仿宋" w:cs="仿宋"/>
          <w:color w:val="000000"/>
          <w:spacing w:val="2"/>
          <w:sz w:val="24"/>
        </w:rPr>
        <w:t>.</w:t>
      </w:r>
      <w:r>
        <w:rPr>
          <w:rFonts w:hint="eastAsia" w:ascii="仿宋" w:hAnsi="仿宋" w:eastAsia="仿宋" w:cs="仿宋"/>
          <w:color w:val="000000"/>
          <w:spacing w:val="2"/>
          <w:sz w:val="24"/>
        </w:rPr>
        <w:t>以设计单位</w:t>
      </w:r>
      <w:r>
        <w:rPr>
          <w:rFonts w:hint="eastAsia" w:ascii="仿宋" w:hAnsi="仿宋" w:eastAsia="仿宋" w:cs="仿宋"/>
          <w:color w:val="000000"/>
          <w:spacing w:val="2"/>
          <w:sz w:val="24"/>
          <w:lang w:eastAsia="zh-CN"/>
        </w:rPr>
        <w:t>为</w:t>
      </w:r>
      <w:r>
        <w:rPr>
          <w:rFonts w:hint="eastAsia" w:ascii="仿宋" w:hAnsi="仿宋" w:eastAsia="仿宋" w:cs="仿宋"/>
          <w:color w:val="000000"/>
          <w:spacing w:val="2"/>
          <w:sz w:val="24"/>
        </w:rPr>
        <w:t>牵头人在项目实施过程中应关注的内容；</w:t>
      </w:r>
    </w:p>
    <w:p w14:paraId="526EE15B">
      <w:pPr>
        <w:spacing w:line="400" w:lineRule="exact"/>
        <w:ind w:right="84" w:rightChars="38"/>
        <w:jc w:val="both"/>
        <w:rPr>
          <w:rFonts w:ascii="宋体" w:hAnsi="宋体" w:eastAsia="仿宋" w:cs="宋体"/>
          <w:b/>
          <w:bCs/>
          <w:color w:val="000000"/>
          <w:spacing w:val="2"/>
          <w:sz w:val="24"/>
        </w:rPr>
      </w:pPr>
      <w:r>
        <w:rPr>
          <w:rFonts w:hint="eastAsia" w:ascii="宋体" w:hAnsi="宋体" w:eastAsia="仿宋" w:cs="宋体"/>
          <w:b/>
          <w:bCs/>
          <w:color w:val="000000"/>
          <w:spacing w:val="2"/>
          <w:sz w:val="24"/>
        </w:rPr>
        <w:t>四、地点时间</w:t>
      </w:r>
    </w:p>
    <w:p w14:paraId="02C843CB">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202</w:t>
      </w:r>
      <w:r>
        <w:rPr>
          <w:rFonts w:hint="eastAsia" w:ascii="仿宋" w:hAnsi="仿宋" w:eastAsia="仿宋" w:cs="仿宋"/>
          <w:color w:val="000000"/>
          <w:spacing w:val="2"/>
          <w:sz w:val="24"/>
          <w:lang w:val="en-US" w:eastAsia="zh-CN"/>
        </w:rPr>
        <w:t>6</w:t>
      </w:r>
      <w:r>
        <w:rPr>
          <w:rFonts w:hint="eastAsia" w:ascii="仿宋" w:hAnsi="仿宋" w:eastAsia="仿宋" w:cs="仿宋"/>
          <w:color w:val="000000"/>
          <w:spacing w:val="2"/>
          <w:sz w:val="24"/>
        </w:rPr>
        <w:t>年</w:t>
      </w:r>
      <w:r>
        <w:rPr>
          <w:rFonts w:hint="eastAsia" w:ascii="仿宋" w:hAnsi="仿宋" w:eastAsia="仿宋" w:cs="仿宋"/>
          <w:color w:val="000000"/>
          <w:spacing w:val="2"/>
          <w:sz w:val="24"/>
          <w:lang w:val="en-US" w:eastAsia="zh-CN"/>
        </w:rPr>
        <w:t>3</w:t>
      </w:r>
      <w:r>
        <w:rPr>
          <w:rFonts w:hint="eastAsia" w:ascii="仿宋" w:hAnsi="仿宋" w:eastAsia="仿宋" w:cs="仿宋"/>
          <w:color w:val="000000"/>
          <w:spacing w:val="2"/>
          <w:sz w:val="24"/>
        </w:rPr>
        <w:t>月</w:t>
      </w:r>
      <w:r>
        <w:rPr>
          <w:rFonts w:hint="eastAsia" w:ascii="仿宋" w:hAnsi="仿宋" w:eastAsia="仿宋" w:cs="仿宋"/>
          <w:color w:val="000000"/>
          <w:spacing w:val="2"/>
          <w:sz w:val="24"/>
          <w:lang w:val="en-US" w:eastAsia="zh-CN"/>
        </w:rPr>
        <w:t>19日</w:t>
      </w:r>
      <w:r>
        <w:rPr>
          <w:rFonts w:ascii="仿宋" w:hAnsi="仿宋" w:eastAsia="仿宋" w:cs="仿宋"/>
          <w:color w:val="000000"/>
          <w:spacing w:val="2"/>
          <w:sz w:val="24"/>
        </w:rPr>
        <w:t>-2</w:t>
      </w:r>
      <w:r>
        <w:rPr>
          <w:rFonts w:hint="eastAsia" w:ascii="仿宋" w:hAnsi="仿宋" w:eastAsia="仿宋" w:cs="仿宋"/>
          <w:color w:val="000000"/>
          <w:spacing w:val="2"/>
          <w:sz w:val="24"/>
          <w:lang w:val="en-US" w:eastAsia="zh-CN"/>
        </w:rPr>
        <w:t>1</w:t>
      </w:r>
      <w:r>
        <w:rPr>
          <w:rFonts w:hint="eastAsia" w:ascii="仿宋" w:hAnsi="仿宋" w:eastAsia="仿宋" w:cs="仿宋"/>
          <w:color w:val="000000"/>
          <w:spacing w:val="2"/>
          <w:sz w:val="24"/>
        </w:rPr>
        <w:t>日（</w:t>
      </w:r>
      <w:r>
        <w:rPr>
          <w:rFonts w:hint="eastAsia" w:ascii="仿宋" w:hAnsi="仿宋" w:eastAsia="仿宋" w:cs="仿宋"/>
          <w:color w:val="000000"/>
          <w:spacing w:val="2"/>
          <w:sz w:val="24"/>
          <w:lang w:val="en-US" w:eastAsia="zh-CN"/>
        </w:rPr>
        <w:t>19</w:t>
      </w:r>
      <w:r>
        <w:rPr>
          <w:rFonts w:hint="eastAsia" w:ascii="仿宋" w:hAnsi="仿宋" w:eastAsia="仿宋" w:cs="仿宋"/>
          <w:color w:val="000000"/>
          <w:spacing w:val="2"/>
          <w:sz w:val="24"/>
        </w:rPr>
        <w:t>日全天报到）</w:t>
      </w:r>
      <w:r>
        <w:rPr>
          <w:rFonts w:ascii="仿宋" w:hAnsi="仿宋" w:eastAsia="仿宋" w:cs="仿宋"/>
          <w:color w:val="000000"/>
          <w:spacing w:val="2"/>
          <w:sz w:val="24"/>
        </w:rPr>
        <w:t xml:space="preserve">   </w:t>
      </w:r>
      <w:r>
        <w:rPr>
          <w:rFonts w:hint="eastAsia" w:ascii="仿宋" w:hAnsi="仿宋" w:eastAsia="仿宋" w:cs="仿宋"/>
          <w:color w:val="000000"/>
          <w:spacing w:val="2"/>
          <w:sz w:val="24"/>
        </w:rPr>
        <w:t>太原</w:t>
      </w:r>
    </w:p>
    <w:p w14:paraId="57DD6D28">
      <w:pPr>
        <w:spacing w:line="400" w:lineRule="exact"/>
        <w:ind w:right="84" w:rightChars="38" w:firstLine="488" w:firstLineChars="200"/>
        <w:jc w:val="both"/>
        <w:rPr>
          <w:rFonts w:hint="eastAsia" w:ascii="仿宋" w:hAnsi="仿宋" w:eastAsia="仿宋" w:cs="仿宋"/>
          <w:color w:val="000000"/>
          <w:spacing w:val="2"/>
          <w:sz w:val="24"/>
          <w:lang w:val="en-US" w:eastAsia="zh-CN"/>
        </w:rPr>
      </w:pPr>
      <w:r>
        <w:rPr>
          <w:rFonts w:hint="eastAsia" w:ascii="仿宋" w:hAnsi="仿宋" w:eastAsia="仿宋" w:cs="仿宋"/>
          <w:color w:val="000000"/>
          <w:spacing w:val="2"/>
          <w:sz w:val="24"/>
        </w:rPr>
        <w:t>2</w:t>
      </w:r>
      <w:r>
        <w:rPr>
          <w:rFonts w:ascii="仿宋" w:hAnsi="仿宋" w:eastAsia="仿宋" w:cs="仿宋"/>
          <w:color w:val="000000"/>
          <w:spacing w:val="2"/>
          <w:sz w:val="24"/>
        </w:rPr>
        <w:t>02</w:t>
      </w:r>
      <w:r>
        <w:rPr>
          <w:rFonts w:hint="eastAsia" w:ascii="仿宋" w:hAnsi="仿宋" w:eastAsia="仿宋" w:cs="仿宋"/>
          <w:color w:val="000000"/>
          <w:spacing w:val="2"/>
          <w:sz w:val="24"/>
          <w:lang w:val="en-US" w:eastAsia="zh-CN"/>
        </w:rPr>
        <w:t>6</w:t>
      </w:r>
      <w:r>
        <w:rPr>
          <w:rFonts w:hint="eastAsia" w:ascii="仿宋" w:hAnsi="仿宋" w:eastAsia="仿宋" w:cs="仿宋"/>
          <w:color w:val="000000"/>
          <w:spacing w:val="2"/>
          <w:sz w:val="24"/>
        </w:rPr>
        <w:t>年</w:t>
      </w:r>
      <w:r>
        <w:rPr>
          <w:rFonts w:hint="eastAsia" w:ascii="仿宋" w:hAnsi="仿宋" w:eastAsia="仿宋" w:cs="仿宋"/>
          <w:color w:val="000000"/>
          <w:spacing w:val="2"/>
          <w:sz w:val="24"/>
          <w:lang w:val="en-US" w:eastAsia="zh-CN"/>
        </w:rPr>
        <w:t>4</w:t>
      </w:r>
      <w:r>
        <w:rPr>
          <w:rFonts w:hint="eastAsia" w:ascii="仿宋" w:hAnsi="仿宋" w:eastAsia="仿宋" w:cs="仿宋"/>
          <w:color w:val="000000"/>
          <w:spacing w:val="2"/>
          <w:sz w:val="24"/>
        </w:rPr>
        <w:t>月</w:t>
      </w:r>
      <w:r>
        <w:rPr>
          <w:rFonts w:hint="eastAsia" w:ascii="仿宋" w:hAnsi="仿宋" w:eastAsia="仿宋" w:cs="仿宋"/>
          <w:color w:val="000000"/>
          <w:spacing w:val="2"/>
          <w:sz w:val="24"/>
          <w:lang w:val="en-US" w:eastAsia="zh-CN"/>
        </w:rPr>
        <w:t>16日</w:t>
      </w:r>
      <w:r>
        <w:rPr>
          <w:rFonts w:ascii="仿宋" w:hAnsi="仿宋" w:eastAsia="仿宋" w:cs="仿宋"/>
          <w:color w:val="000000"/>
          <w:spacing w:val="2"/>
          <w:sz w:val="24"/>
        </w:rPr>
        <w:t>-</w:t>
      </w:r>
      <w:r>
        <w:rPr>
          <w:rFonts w:hint="eastAsia" w:ascii="仿宋" w:hAnsi="仿宋" w:eastAsia="仿宋" w:cs="仿宋"/>
          <w:color w:val="000000"/>
          <w:spacing w:val="2"/>
          <w:sz w:val="24"/>
          <w:lang w:val="en-US" w:eastAsia="zh-CN"/>
        </w:rPr>
        <w:t>18</w:t>
      </w:r>
      <w:r>
        <w:rPr>
          <w:rFonts w:hint="eastAsia" w:ascii="仿宋" w:hAnsi="仿宋" w:eastAsia="仿宋" w:cs="仿宋"/>
          <w:color w:val="000000"/>
          <w:spacing w:val="2"/>
          <w:sz w:val="24"/>
        </w:rPr>
        <w:t>日（</w:t>
      </w:r>
      <w:r>
        <w:rPr>
          <w:rFonts w:hint="eastAsia" w:ascii="仿宋" w:hAnsi="仿宋" w:eastAsia="仿宋" w:cs="仿宋"/>
          <w:color w:val="000000"/>
          <w:spacing w:val="2"/>
          <w:sz w:val="24"/>
          <w:lang w:val="en-US" w:eastAsia="zh-CN"/>
        </w:rPr>
        <w:t>16</w:t>
      </w:r>
      <w:r>
        <w:rPr>
          <w:rFonts w:hint="eastAsia" w:ascii="仿宋" w:hAnsi="仿宋" w:eastAsia="仿宋" w:cs="仿宋"/>
          <w:color w:val="000000"/>
          <w:spacing w:val="2"/>
          <w:sz w:val="24"/>
        </w:rPr>
        <w:t xml:space="preserve">日全天报到） </w:t>
      </w:r>
      <w:r>
        <w:rPr>
          <w:rFonts w:ascii="仿宋" w:hAnsi="仿宋" w:eastAsia="仿宋" w:cs="仿宋"/>
          <w:color w:val="000000"/>
          <w:spacing w:val="2"/>
          <w:sz w:val="24"/>
        </w:rPr>
        <w:t xml:space="preserve">  </w:t>
      </w:r>
      <w:r>
        <w:rPr>
          <w:rFonts w:hint="eastAsia" w:ascii="仿宋" w:hAnsi="仿宋" w:eastAsia="仿宋" w:cs="仿宋"/>
          <w:color w:val="000000"/>
          <w:spacing w:val="2"/>
          <w:sz w:val="24"/>
          <w:lang w:val="en-US" w:eastAsia="zh-CN"/>
        </w:rPr>
        <w:t>上海</w:t>
      </w:r>
    </w:p>
    <w:p w14:paraId="73B8D1FC">
      <w:pPr>
        <w:spacing w:line="400" w:lineRule="exact"/>
        <w:ind w:right="84" w:rightChars="38" w:firstLine="488" w:firstLineChars="200"/>
        <w:jc w:val="both"/>
        <w:rPr>
          <w:rFonts w:hint="default" w:ascii="仿宋" w:hAnsi="仿宋" w:eastAsia="仿宋" w:cs="仿宋"/>
          <w:color w:val="000000"/>
          <w:spacing w:val="2"/>
          <w:sz w:val="24"/>
          <w:lang w:val="en-US" w:eastAsia="zh-CN"/>
        </w:rPr>
      </w:pPr>
      <w:r>
        <w:rPr>
          <w:rFonts w:hint="eastAsia" w:ascii="仿宋" w:hAnsi="仿宋" w:eastAsia="仿宋" w:cs="仿宋"/>
          <w:color w:val="000000"/>
          <w:spacing w:val="2"/>
          <w:sz w:val="24"/>
          <w:lang w:val="en-US" w:eastAsia="zh-CN"/>
        </w:rPr>
        <w:t>2026年5月21日-23日（21日全天报到）   北京</w:t>
      </w:r>
    </w:p>
    <w:p w14:paraId="64B16A07">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rPr>
        <w:t>具体地点于开班前一周通知</w:t>
      </w:r>
    </w:p>
    <w:p w14:paraId="053D7EDD">
      <w:pPr>
        <w:spacing w:line="400" w:lineRule="exact"/>
        <w:ind w:right="84" w:rightChars="38"/>
        <w:jc w:val="both"/>
        <w:rPr>
          <w:rFonts w:ascii="宋体" w:hAnsi="宋体" w:eastAsia="仿宋" w:cs="宋体"/>
          <w:b/>
          <w:bCs/>
          <w:color w:val="000000"/>
          <w:spacing w:val="2"/>
          <w:sz w:val="24"/>
        </w:rPr>
      </w:pPr>
      <w:r>
        <w:rPr>
          <w:rFonts w:hint="eastAsia" w:ascii="宋体" w:hAnsi="宋体" w:eastAsia="仿宋" w:cs="宋体"/>
          <w:b/>
          <w:bCs/>
          <w:color w:val="000000"/>
          <w:spacing w:val="2"/>
          <w:sz w:val="24"/>
        </w:rPr>
        <w:t>五、相关费用</w:t>
      </w:r>
    </w:p>
    <w:p w14:paraId="2338A27A">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lang w:val="en-US" w:eastAsia="zh-CN"/>
        </w:rPr>
        <w:t>培训费：</w:t>
      </w:r>
      <w:r>
        <w:rPr>
          <w:rFonts w:hint="eastAsia" w:ascii="仿宋" w:hAnsi="仿宋" w:eastAsia="仿宋" w:cs="仿宋"/>
          <w:color w:val="000000"/>
          <w:spacing w:val="2"/>
          <w:sz w:val="24"/>
        </w:rPr>
        <w:t>3280元/人（含培训费、资料费、电子课件、场地、会议期间午餐），住宿统一安排，费用自理。</w:t>
      </w:r>
    </w:p>
    <w:p w14:paraId="148EA074">
      <w:pPr>
        <w:spacing w:line="400" w:lineRule="exact"/>
        <w:ind w:right="84" w:rightChars="38"/>
        <w:jc w:val="both"/>
        <w:rPr>
          <w:rFonts w:ascii="宋体" w:hAnsi="宋体" w:eastAsia="仿宋" w:cs="宋体"/>
          <w:b/>
          <w:bCs/>
          <w:color w:val="000000"/>
          <w:spacing w:val="2"/>
          <w:sz w:val="24"/>
        </w:rPr>
      </w:pPr>
      <w:r>
        <w:rPr>
          <w:rFonts w:hint="eastAsia" w:ascii="宋体" w:hAnsi="宋体" w:eastAsia="仿宋" w:cs="宋体"/>
          <w:b/>
          <w:bCs/>
          <w:color w:val="000000"/>
          <w:spacing w:val="2"/>
          <w:sz w:val="24"/>
        </w:rPr>
        <w:t>六、联系方式</w:t>
      </w:r>
    </w:p>
    <w:p w14:paraId="42F96308">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rPr>
        <w:t xml:space="preserve">报名负责人：聂红军 主任18211071700（微信）   </w:t>
      </w:r>
    </w:p>
    <w:p w14:paraId="4B423E59">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rPr>
        <w:t xml:space="preserve">电    话：13141289128        邮    箱：zqgphwz@126.com  </w:t>
      </w:r>
    </w:p>
    <w:p w14:paraId="4890BF14">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qq咨询：3177524020          网    址：http://www.zqgpchina.cn</w:t>
      </w:r>
      <w:r>
        <w:rPr>
          <w:rFonts w:hint="eastAsia" w:ascii="仿宋" w:hAnsi="仿宋" w:eastAsia="仿宋" w:cs="仿宋"/>
          <w:color w:val="000000"/>
          <w:spacing w:val="2"/>
          <w:sz w:val="24"/>
        </w:rPr>
        <w:drawing>
          <wp:anchor distT="0" distB="0" distL="114300" distR="114300" simplePos="0" relativeHeight="251660288" behindDoc="1" locked="0" layoutInCell="1" allowOverlap="1">
            <wp:simplePos x="0" y="0"/>
            <wp:positionH relativeFrom="column">
              <wp:posOffset>3168015</wp:posOffset>
            </wp:positionH>
            <wp:positionV relativeFrom="paragraph">
              <wp:posOffset>219075</wp:posOffset>
            </wp:positionV>
            <wp:extent cx="2679700" cy="1905000"/>
            <wp:effectExtent l="0" t="0" r="6350" b="0"/>
            <wp:wrapNone/>
            <wp:docPr id="3" name="图片 3" descr="建术公章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建术公章12"/>
                    <pic:cNvPicPr>
                      <a:picLocks noChangeAspect="1"/>
                    </pic:cNvPicPr>
                  </pic:nvPicPr>
                  <pic:blipFill>
                    <a:blip r:embed="rId4" cstate="print"/>
                    <a:stretch>
                      <a:fillRect/>
                    </a:stretch>
                  </pic:blipFill>
                  <pic:spPr>
                    <a:xfrm>
                      <a:off x="0" y="0"/>
                      <a:ext cx="2679700" cy="1905000"/>
                    </a:xfrm>
                    <a:prstGeom prst="rect">
                      <a:avLst/>
                    </a:prstGeom>
                  </pic:spPr>
                </pic:pic>
              </a:graphicData>
            </a:graphic>
          </wp:anchor>
        </w:drawing>
      </w:r>
    </w:p>
    <w:p w14:paraId="73FF3210">
      <w:pPr>
        <w:ind w:right="84" w:rightChars="38"/>
        <w:jc w:val="both"/>
        <w:rPr>
          <w:rFonts w:ascii="仿宋" w:hAnsi="仿宋" w:eastAsia="Times New Roman" w:cs="仿宋"/>
          <w:color w:val="000000"/>
          <w:spacing w:val="2"/>
          <w:sz w:val="28"/>
        </w:rPr>
      </w:pPr>
    </w:p>
    <w:p w14:paraId="20307AD0">
      <w:pPr>
        <w:ind w:right="84" w:rightChars="38"/>
        <w:jc w:val="right"/>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北京建术信息科技研究院有限公司</w:t>
      </w:r>
    </w:p>
    <w:p w14:paraId="7EE43FB8">
      <w:pPr>
        <w:ind w:right="84" w:rightChars="38"/>
        <w:jc w:val="right"/>
        <w:rPr>
          <w:rFonts w:ascii="仿宋" w:hAnsi="仿宋" w:eastAsia="Times New Roman" w:cs="仿宋"/>
          <w:color w:val="000000"/>
          <w:spacing w:val="2"/>
          <w:sz w:val="28"/>
        </w:rPr>
      </w:pPr>
      <w:r>
        <w:rPr>
          <w:rFonts w:hint="eastAsia" w:ascii="仿宋" w:hAnsi="仿宋" w:eastAsia="仿宋" w:cs="仿宋"/>
          <w:color w:val="000000"/>
          <w:spacing w:val="2"/>
          <w:sz w:val="24"/>
          <w:szCs w:val="24"/>
        </w:rPr>
        <w:t>202</w:t>
      </w:r>
      <w:r>
        <w:rPr>
          <w:rFonts w:hint="eastAsia" w:ascii="仿宋" w:hAnsi="仿宋" w:eastAsia="仿宋" w:cs="仿宋"/>
          <w:color w:val="000000"/>
          <w:spacing w:val="2"/>
          <w:sz w:val="24"/>
          <w:szCs w:val="24"/>
          <w:lang w:val="en-US" w:eastAsia="zh-CN"/>
        </w:rPr>
        <w:t>5</w:t>
      </w:r>
      <w:r>
        <w:rPr>
          <w:rFonts w:hint="eastAsia" w:ascii="仿宋" w:hAnsi="仿宋" w:eastAsia="仿宋" w:cs="仿宋"/>
          <w:color w:val="000000"/>
          <w:spacing w:val="2"/>
          <w:sz w:val="24"/>
          <w:szCs w:val="24"/>
        </w:rPr>
        <w:t>年</w:t>
      </w:r>
      <w:r>
        <w:rPr>
          <w:rFonts w:hint="eastAsia" w:ascii="仿宋" w:hAnsi="仿宋" w:eastAsia="仿宋" w:cs="仿宋"/>
          <w:color w:val="000000"/>
          <w:spacing w:val="2"/>
          <w:sz w:val="24"/>
          <w:szCs w:val="24"/>
          <w:lang w:val="en-US" w:eastAsia="zh-CN"/>
        </w:rPr>
        <w:t>12</w:t>
      </w:r>
      <w:r>
        <w:rPr>
          <w:rFonts w:hint="eastAsia" w:ascii="仿宋" w:hAnsi="仿宋" w:eastAsia="仿宋" w:cs="仿宋"/>
          <w:color w:val="000000"/>
          <w:spacing w:val="2"/>
          <w:sz w:val="24"/>
          <w:szCs w:val="24"/>
        </w:rPr>
        <w:t>月</w:t>
      </w:r>
      <w:r>
        <w:rPr>
          <w:rFonts w:hint="eastAsia" w:ascii="仿宋" w:hAnsi="仿宋" w:eastAsia="仿宋" w:cs="仿宋"/>
          <w:color w:val="000000"/>
          <w:spacing w:val="2"/>
          <w:sz w:val="24"/>
          <w:szCs w:val="24"/>
          <w:lang w:val="en-US" w:eastAsia="zh-CN"/>
        </w:rPr>
        <w:t>29</w:t>
      </w:r>
      <w:r>
        <w:rPr>
          <w:rFonts w:hint="eastAsia" w:ascii="仿宋" w:hAnsi="仿宋" w:eastAsia="仿宋" w:cs="仿宋"/>
          <w:color w:val="000000"/>
          <w:spacing w:val="2"/>
          <w:sz w:val="24"/>
          <w:szCs w:val="24"/>
        </w:rPr>
        <w:t>日</w:t>
      </w:r>
    </w:p>
    <w:p w14:paraId="156D84F6">
      <w:pPr>
        <w:spacing w:line="400" w:lineRule="exact"/>
        <w:ind w:right="84" w:rightChars="38"/>
        <w:jc w:val="both"/>
        <w:rPr>
          <w:rFonts w:ascii="仿宋" w:hAnsi="仿宋" w:eastAsia="Times New Roman" w:cs="仿宋"/>
          <w:b/>
          <w:spacing w:val="2"/>
        </w:rPr>
      </w:pPr>
    </w:p>
    <w:p w14:paraId="25928272">
      <w:pPr>
        <w:spacing w:line="400" w:lineRule="exact"/>
        <w:ind w:right="84" w:rightChars="38"/>
        <w:jc w:val="both"/>
        <w:rPr>
          <w:rFonts w:ascii="仿宋" w:hAnsi="仿宋" w:eastAsia="Times New Roman" w:cs="仿宋"/>
          <w:b/>
          <w:spacing w:val="2"/>
        </w:rPr>
      </w:pPr>
    </w:p>
    <w:p w14:paraId="00A32849">
      <w:pPr>
        <w:spacing w:line="400" w:lineRule="exact"/>
        <w:ind w:right="84" w:rightChars="38"/>
        <w:jc w:val="both"/>
        <w:rPr>
          <w:rFonts w:ascii="仿宋" w:hAnsi="仿宋" w:eastAsia="Times New Roman" w:cs="仿宋"/>
          <w:b/>
          <w:spacing w:val="2"/>
        </w:rPr>
      </w:pPr>
    </w:p>
    <w:p w14:paraId="0E4D15F8">
      <w:pPr>
        <w:spacing w:line="400" w:lineRule="exact"/>
        <w:ind w:right="84" w:rightChars="38"/>
        <w:jc w:val="both"/>
        <w:rPr>
          <w:rFonts w:ascii="仿宋" w:hAnsi="仿宋" w:eastAsia="Times New Roman" w:cs="仿宋"/>
          <w:b/>
          <w:spacing w:val="2"/>
        </w:rPr>
      </w:pPr>
    </w:p>
    <w:p w14:paraId="3E508D55">
      <w:pPr>
        <w:spacing w:line="400" w:lineRule="exact"/>
        <w:ind w:right="84" w:rightChars="38"/>
        <w:jc w:val="both"/>
        <w:rPr>
          <w:rFonts w:ascii="仿宋" w:hAnsi="仿宋" w:eastAsia="Times New Roman" w:cs="仿宋"/>
          <w:b/>
          <w:spacing w:val="2"/>
        </w:rPr>
      </w:pPr>
    </w:p>
    <w:p w14:paraId="3D90568F">
      <w:pPr>
        <w:spacing w:line="400" w:lineRule="exact"/>
        <w:ind w:right="84" w:rightChars="38"/>
        <w:jc w:val="both"/>
        <w:rPr>
          <w:rStyle w:val="8"/>
          <w:rFonts w:ascii="黑体" w:hAnsi="黑体" w:eastAsia="黑体" w:cs="宋体"/>
          <w:color w:val="000000"/>
          <w:sz w:val="28"/>
          <w:szCs w:val="28"/>
        </w:rPr>
      </w:pPr>
    </w:p>
    <w:p w14:paraId="6A8192D3">
      <w:pPr>
        <w:spacing w:line="400" w:lineRule="exact"/>
        <w:ind w:right="84" w:rightChars="38"/>
        <w:jc w:val="both"/>
        <w:rPr>
          <w:rStyle w:val="8"/>
          <w:rFonts w:ascii="黑体" w:hAnsi="黑体" w:eastAsia="黑体" w:cs="宋体"/>
          <w:color w:val="000000"/>
          <w:sz w:val="28"/>
          <w:szCs w:val="28"/>
        </w:rPr>
      </w:pPr>
      <w:r>
        <w:rPr>
          <w:rStyle w:val="8"/>
          <w:rFonts w:hint="eastAsia" w:ascii="黑体" w:hAnsi="黑体" w:eastAsia="黑体" w:cs="宋体"/>
          <w:color w:val="000000"/>
          <w:sz w:val="28"/>
          <w:szCs w:val="28"/>
        </w:rPr>
        <w:t>附件</w:t>
      </w:r>
      <w:r>
        <w:rPr>
          <w:rStyle w:val="8"/>
          <w:rFonts w:ascii="黑体" w:hAnsi="黑体" w:eastAsia="黑体" w:cs="宋体"/>
          <w:color w:val="000000"/>
          <w:sz w:val="28"/>
          <w:szCs w:val="28"/>
        </w:rPr>
        <w:t>2</w:t>
      </w:r>
      <w:r>
        <w:rPr>
          <w:rStyle w:val="8"/>
          <w:rFonts w:hint="eastAsia" w:ascii="黑体" w:hAnsi="黑体" w:eastAsia="黑体" w:cs="宋体"/>
          <w:color w:val="000000"/>
          <w:sz w:val="28"/>
          <w:szCs w:val="28"/>
        </w:rPr>
        <w:t>：</w:t>
      </w:r>
      <w:r>
        <w:rPr>
          <w:rStyle w:val="8"/>
          <w:rFonts w:ascii="黑体" w:hAnsi="黑体" w:eastAsia="黑体" w:cs="宋体"/>
          <w:color w:val="000000"/>
          <w:sz w:val="28"/>
          <w:szCs w:val="28"/>
        </w:rPr>
        <w:t xml:space="preserve">                   </w:t>
      </w:r>
    </w:p>
    <w:p w14:paraId="6555912D">
      <w:pPr>
        <w:spacing w:line="400" w:lineRule="exact"/>
        <w:ind w:right="84" w:rightChars="38"/>
        <w:jc w:val="center"/>
        <w:rPr>
          <w:rFonts w:ascii="黑体" w:hAnsi="黑体" w:eastAsia="黑体" w:cs="Arial"/>
          <w:color w:val="000000"/>
          <w:sz w:val="28"/>
          <w:szCs w:val="28"/>
        </w:rPr>
      </w:pPr>
      <w:r>
        <w:rPr>
          <w:rFonts w:ascii="黑体" w:hAnsi="黑体" w:eastAsia="黑体" w:cs="宋体"/>
          <w:color w:val="000000"/>
          <w:spacing w:val="2"/>
          <w:sz w:val="28"/>
          <w:szCs w:val="28"/>
        </w:rPr>
        <w:t>EPC</w:t>
      </w:r>
      <w:r>
        <w:rPr>
          <w:rFonts w:hint="eastAsia" w:ascii="黑体" w:hAnsi="黑体" w:eastAsia="黑体" w:cs="宋体"/>
          <w:color w:val="000000"/>
          <w:spacing w:val="2"/>
          <w:sz w:val="28"/>
          <w:szCs w:val="28"/>
        </w:rPr>
        <w:t>工程总承包相关政策解析及项目</w:t>
      </w:r>
      <w:r>
        <w:rPr>
          <w:rFonts w:ascii="黑体" w:hAnsi="黑体" w:eastAsia="黑体" w:cs="宋体"/>
          <w:color w:val="000000"/>
          <w:spacing w:val="2"/>
          <w:sz w:val="28"/>
          <w:szCs w:val="28"/>
        </w:rPr>
        <w:t>招投标、</w:t>
      </w:r>
      <w:r>
        <w:rPr>
          <w:rFonts w:hint="eastAsia" w:ascii="黑体" w:hAnsi="黑体" w:eastAsia="黑体" w:cs="宋体"/>
          <w:color w:val="000000"/>
          <w:spacing w:val="2"/>
          <w:sz w:val="28"/>
          <w:szCs w:val="28"/>
        </w:rPr>
        <w:t>全过程</w:t>
      </w:r>
      <w:r>
        <w:rPr>
          <w:rFonts w:ascii="黑体" w:hAnsi="黑体" w:eastAsia="黑体" w:cs="宋体"/>
          <w:color w:val="000000"/>
          <w:spacing w:val="2"/>
          <w:sz w:val="28"/>
          <w:szCs w:val="28"/>
        </w:rPr>
        <w:t>造价</w:t>
      </w:r>
      <w:r>
        <w:rPr>
          <w:rFonts w:hint="eastAsia" w:ascii="黑体" w:hAnsi="黑体" w:eastAsia="黑体" w:cs="宋体"/>
          <w:color w:val="000000"/>
          <w:spacing w:val="2"/>
          <w:sz w:val="28"/>
          <w:szCs w:val="28"/>
        </w:rPr>
        <w:t>管理、合同</w:t>
      </w:r>
      <w:r>
        <w:rPr>
          <w:rFonts w:ascii="黑体" w:hAnsi="黑体" w:eastAsia="黑体" w:cs="宋体"/>
          <w:color w:val="000000"/>
          <w:spacing w:val="2"/>
          <w:sz w:val="28"/>
          <w:szCs w:val="28"/>
        </w:rPr>
        <w:t>实操要点</w:t>
      </w:r>
      <w:r>
        <w:rPr>
          <w:rFonts w:hint="eastAsia" w:ascii="黑体" w:hAnsi="黑体" w:eastAsia="黑体" w:cs="宋体"/>
          <w:color w:val="000000"/>
          <w:spacing w:val="2"/>
          <w:sz w:val="28"/>
          <w:szCs w:val="28"/>
        </w:rPr>
        <w:t>与典型案例解析</w:t>
      </w:r>
      <w:r>
        <w:rPr>
          <w:rFonts w:ascii="黑体" w:hAnsi="黑体" w:eastAsia="黑体" w:cs="宋体"/>
          <w:color w:val="000000"/>
          <w:spacing w:val="2"/>
          <w:sz w:val="28"/>
          <w:szCs w:val="28"/>
        </w:rPr>
        <w:t>培训班</w:t>
      </w:r>
      <w:r>
        <w:rPr>
          <w:rFonts w:hint="eastAsia" w:ascii="黑体" w:hAnsi="黑体" w:eastAsia="黑体" w:cs="Arial"/>
          <w:color w:val="000000"/>
          <w:sz w:val="28"/>
          <w:szCs w:val="28"/>
        </w:rPr>
        <w:t>报名回执表</w:t>
      </w:r>
    </w:p>
    <w:tbl>
      <w:tblPr>
        <w:tblStyle w:val="6"/>
        <w:tblpPr w:leftFromText="180" w:rightFromText="180" w:vertAnchor="text" w:horzAnchor="page" w:tblpXSpec="center" w:tblpY="187"/>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771"/>
        <w:gridCol w:w="1374"/>
        <w:gridCol w:w="1418"/>
        <w:gridCol w:w="802"/>
        <w:gridCol w:w="6"/>
        <w:gridCol w:w="1176"/>
        <w:gridCol w:w="498"/>
        <w:gridCol w:w="949"/>
      </w:tblGrid>
      <w:tr w14:paraId="31CC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32" w:type="dxa"/>
            <w:noWrap/>
            <w:vAlign w:val="center"/>
          </w:tcPr>
          <w:p w14:paraId="1EAF5466">
            <w:pPr>
              <w:spacing w:line="360" w:lineRule="exact"/>
              <w:ind w:right="84" w:rightChars="38"/>
              <w:jc w:val="both"/>
              <w:rPr>
                <w:rFonts w:ascii="仿宋" w:hAnsi="仿宋" w:eastAsia="仿宋" w:cs="仿宋"/>
                <w:bCs/>
                <w:sz w:val="24"/>
              </w:rPr>
            </w:pPr>
            <w:r>
              <w:rPr>
                <w:rFonts w:hint="eastAsia" w:ascii="仿宋" w:hAnsi="仿宋" w:eastAsia="仿宋" w:cs="仿宋"/>
                <w:bCs/>
                <w:sz w:val="24"/>
              </w:rPr>
              <w:t>单位名称</w:t>
            </w:r>
          </w:p>
        </w:tc>
        <w:tc>
          <w:tcPr>
            <w:tcW w:w="4371" w:type="dxa"/>
            <w:gridSpan w:val="5"/>
            <w:noWrap/>
            <w:vAlign w:val="center"/>
          </w:tcPr>
          <w:p w14:paraId="474599DB">
            <w:pPr>
              <w:spacing w:line="360" w:lineRule="exact"/>
              <w:ind w:right="84" w:rightChars="38"/>
              <w:jc w:val="both"/>
              <w:rPr>
                <w:rFonts w:ascii="仿宋" w:hAnsi="仿宋" w:eastAsia="仿宋" w:cs="仿宋"/>
                <w:bCs/>
                <w:sz w:val="24"/>
              </w:rPr>
            </w:pPr>
          </w:p>
        </w:tc>
        <w:tc>
          <w:tcPr>
            <w:tcW w:w="1176" w:type="dxa"/>
            <w:noWrap/>
            <w:vAlign w:val="center"/>
          </w:tcPr>
          <w:p w14:paraId="542C475D">
            <w:pPr>
              <w:spacing w:line="360" w:lineRule="exact"/>
              <w:ind w:right="84" w:rightChars="38"/>
              <w:jc w:val="both"/>
              <w:rPr>
                <w:rFonts w:ascii="仿宋" w:hAnsi="仿宋" w:eastAsia="仿宋" w:cs="仿宋"/>
                <w:bCs/>
                <w:sz w:val="24"/>
              </w:rPr>
            </w:pPr>
            <w:r>
              <w:rPr>
                <w:rFonts w:hint="eastAsia" w:ascii="仿宋" w:hAnsi="仿宋" w:eastAsia="仿宋" w:cs="仿宋"/>
                <w:bCs/>
                <w:sz w:val="24"/>
              </w:rPr>
              <w:t>邮编</w:t>
            </w:r>
          </w:p>
        </w:tc>
        <w:tc>
          <w:tcPr>
            <w:tcW w:w="1447" w:type="dxa"/>
            <w:gridSpan w:val="2"/>
            <w:noWrap/>
            <w:vAlign w:val="center"/>
          </w:tcPr>
          <w:p w14:paraId="41BAAEB3">
            <w:pPr>
              <w:spacing w:line="360" w:lineRule="exact"/>
              <w:ind w:left="149" w:right="84" w:rightChars="38" w:hanging="148" w:hangingChars="62"/>
              <w:jc w:val="both"/>
              <w:rPr>
                <w:rFonts w:ascii="仿宋" w:hAnsi="仿宋" w:eastAsia="仿宋" w:cs="仿宋"/>
                <w:bCs/>
                <w:sz w:val="24"/>
              </w:rPr>
            </w:pPr>
          </w:p>
        </w:tc>
      </w:tr>
      <w:tr w14:paraId="4218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32" w:type="dxa"/>
            <w:noWrap/>
            <w:vAlign w:val="center"/>
          </w:tcPr>
          <w:p w14:paraId="1C255074">
            <w:pPr>
              <w:spacing w:line="360" w:lineRule="exact"/>
              <w:ind w:right="84" w:rightChars="38"/>
              <w:jc w:val="both"/>
              <w:rPr>
                <w:rFonts w:ascii="仿宋" w:hAnsi="仿宋" w:eastAsia="仿宋" w:cs="仿宋"/>
                <w:bCs/>
                <w:sz w:val="24"/>
              </w:rPr>
            </w:pPr>
            <w:r>
              <w:rPr>
                <w:rFonts w:hint="eastAsia" w:ascii="仿宋" w:hAnsi="仿宋" w:eastAsia="仿宋" w:cs="仿宋"/>
                <w:bCs/>
                <w:sz w:val="24"/>
              </w:rPr>
              <w:t>详细地址</w:t>
            </w:r>
          </w:p>
        </w:tc>
        <w:tc>
          <w:tcPr>
            <w:tcW w:w="6994" w:type="dxa"/>
            <w:gridSpan w:val="8"/>
            <w:noWrap/>
            <w:vAlign w:val="center"/>
          </w:tcPr>
          <w:p w14:paraId="5E8C2949">
            <w:pPr>
              <w:spacing w:line="360" w:lineRule="exact"/>
              <w:ind w:right="84" w:rightChars="38"/>
              <w:jc w:val="both"/>
              <w:rPr>
                <w:rFonts w:ascii="仿宋" w:hAnsi="仿宋" w:eastAsia="仿宋" w:cs="仿宋"/>
                <w:bCs/>
                <w:sz w:val="24"/>
              </w:rPr>
            </w:pPr>
          </w:p>
        </w:tc>
      </w:tr>
      <w:tr w14:paraId="4821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32" w:type="dxa"/>
            <w:noWrap/>
            <w:vAlign w:val="center"/>
          </w:tcPr>
          <w:p w14:paraId="4C000092">
            <w:pPr>
              <w:spacing w:line="360" w:lineRule="exact"/>
              <w:ind w:right="84" w:rightChars="38"/>
              <w:jc w:val="both"/>
              <w:rPr>
                <w:rFonts w:ascii="仿宋" w:hAnsi="仿宋" w:eastAsia="仿宋" w:cs="仿宋"/>
                <w:bCs/>
                <w:sz w:val="24"/>
              </w:rPr>
            </w:pPr>
            <w:r>
              <w:rPr>
                <w:rFonts w:hint="eastAsia" w:ascii="仿宋" w:hAnsi="仿宋" w:eastAsia="仿宋" w:cs="仿宋"/>
                <w:bCs/>
                <w:sz w:val="24"/>
              </w:rPr>
              <w:t>联系人</w:t>
            </w:r>
          </w:p>
        </w:tc>
        <w:tc>
          <w:tcPr>
            <w:tcW w:w="3563" w:type="dxa"/>
            <w:gridSpan w:val="3"/>
            <w:noWrap/>
            <w:vAlign w:val="center"/>
          </w:tcPr>
          <w:p w14:paraId="3722C19F">
            <w:pPr>
              <w:spacing w:line="360" w:lineRule="exact"/>
              <w:ind w:right="84" w:rightChars="38"/>
              <w:jc w:val="both"/>
              <w:rPr>
                <w:rFonts w:ascii="仿宋" w:hAnsi="仿宋" w:eastAsia="仿宋" w:cs="仿宋"/>
                <w:bCs/>
                <w:sz w:val="24"/>
              </w:rPr>
            </w:pPr>
          </w:p>
        </w:tc>
        <w:tc>
          <w:tcPr>
            <w:tcW w:w="1984" w:type="dxa"/>
            <w:gridSpan w:val="3"/>
            <w:noWrap/>
            <w:vAlign w:val="center"/>
          </w:tcPr>
          <w:p w14:paraId="4B6ACFC5">
            <w:pPr>
              <w:keepNext/>
              <w:spacing w:line="360" w:lineRule="exact"/>
              <w:ind w:right="84" w:rightChars="38"/>
              <w:jc w:val="both"/>
              <w:outlineLvl w:val="0"/>
              <w:rPr>
                <w:rFonts w:ascii="仿宋" w:hAnsi="仿宋" w:eastAsia="仿宋" w:cs="仿宋"/>
                <w:bCs/>
                <w:sz w:val="24"/>
              </w:rPr>
            </w:pPr>
            <w:r>
              <w:rPr>
                <w:rFonts w:hint="eastAsia" w:ascii="仿宋" w:hAnsi="仿宋" w:eastAsia="仿宋" w:cs="仿宋"/>
                <w:bCs/>
                <w:sz w:val="24"/>
              </w:rPr>
              <w:t>E-mail</w:t>
            </w:r>
          </w:p>
        </w:tc>
        <w:tc>
          <w:tcPr>
            <w:tcW w:w="1447" w:type="dxa"/>
            <w:gridSpan w:val="2"/>
            <w:noWrap/>
            <w:vAlign w:val="center"/>
          </w:tcPr>
          <w:p w14:paraId="5BB19EB1">
            <w:pPr>
              <w:spacing w:line="360" w:lineRule="exact"/>
              <w:ind w:right="84" w:rightChars="38"/>
              <w:jc w:val="both"/>
              <w:rPr>
                <w:rFonts w:ascii="仿宋" w:hAnsi="仿宋" w:eastAsia="仿宋" w:cs="仿宋"/>
                <w:bCs/>
                <w:sz w:val="24"/>
              </w:rPr>
            </w:pPr>
          </w:p>
        </w:tc>
      </w:tr>
      <w:tr w14:paraId="3071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32" w:type="dxa"/>
            <w:noWrap/>
            <w:vAlign w:val="center"/>
          </w:tcPr>
          <w:p w14:paraId="560B1E99">
            <w:pPr>
              <w:spacing w:line="360" w:lineRule="exact"/>
              <w:ind w:right="84" w:rightChars="38"/>
              <w:jc w:val="both"/>
              <w:rPr>
                <w:rFonts w:ascii="仿宋" w:hAnsi="仿宋" w:eastAsia="仿宋" w:cs="仿宋"/>
                <w:bCs/>
                <w:sz w:val="24"/>
              </w:rPr>
            </w:pPr>
            <w:r>
              <w:rPr>
                <w:rFonts w:hint="eastAsia" w:ascii="仿宋" w:hAnsi="仿宋" w:eastAsia="仿宋" w:cs="仿宋"/>
                <w:bCs/>
                <w:sz w:val="24"/>
              </w:rPr>
              <w:t>电话（区号）</w:t>
            </w:r>
          </w:p>
        </w:tc>
        <w:tc>
          <w:tcPr>
            <w:tcW w:w="3563" w:type="dxa"/>
            <w:gridSpan w:val="3"/>
            <w:noWrap/>
            <w:vAlign w:val="center"/>
          </w:tcPr>
          <w:p w14:paraId="03A1B8E4">
            <w:pPr>
              <w:spacing w:line="360" w:lineRule="exact"/>
              <w:ind w:right="84" w:rightChars="38"/>
              <w:jc w:val="both"/>
              <w:rPr>
                <w:rFonts w:ascii="仿宋" w:hAnsi="仿宋" w:eastAsia="仿宋" w:cs="仿宋"/>
                <w:bCs/>
                <w:sz w:val="24"/>
              </w:rPr>
            </w:pPr>
          </w:p>
        </w:tc>
        <w:tc>
          <w:tcPr>
            <w:tcW w:w="1984" w:type="dxa"/>
            <w:gridSpan w:val="3"/>
            <w:noWrap/>
            <w:vAlign w:val="center"/>
          </w:tcPr>
          <w:p w14:paraId="6E3EA61E">
            <w:pPr>
              <w:spacing w:line="360" w:lineRule="exact"/>
              <w:ind w:right="84" w:rightChars="38"/>
              <w:jc w:val="both"/>
              <w:rPr>
                <w:rFonts w:ascii="仿宋" w:hAnsi="仿宋" w:eastAsia="仿宋" w:cs="仿宋"/>
                <w:bCs/>
                <w:sz w:val="24"/>
              </w:rPr>
            </w:pPr>
            <w:r>
              <w:rPr>
                <w:rFonts w:hint="eastAsia" w:ascii="仿宋" w:hAnsi="仿宋" w:eastAsia="仿宋" w:cs="仿宋"/>
                <w:bCs/>
                <w:sz w:val="24"/>
              </w:rPr>
              <w:t>传真</w:t>
            </w:r>
          </w:p>
        </w:tc>
        <w:tc>
          <w:tcPr>
            <w:tcW w:w="1447" w:type="dxa"/>
            <w:gridSpan w:val="2"/>
            <w:noWrap/>
            <w:vAlign w:val="center"/>
          </w:tcPr>
          <w:p w14:paraId="7477BBF0">
            <w:pPr>
              <w:spacing w:line="360" w:lineRule="exact"/>
              <w:ind w:right="84" w:rightChars="38"/>
              <w:jc w:val="both"/>
              <w:rPr>
                <w:rFonts w:ascii="仿宋" w:hAnsi="仿宋" w:eastAsia="仿宋" w:cs="仿宋"/>
                <w:bCs/>
                <w:sz w:val="24"/>
              </w:rPr>
            </w:pPr>
          </w:p>
        </w:tc>
      </w:tr>
      <w:tr w14:paraId="7C98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1DBFCF25">
            <w:pPr>
              <w:spacing w:line="360" w:lineRule="exact"/>
              <w:ind w:right="84" w:rightChars="38"/>
              <w:jc w:val="both"/>
              <w:rPr>
                <w:rFonts w:ascii="仿宋" w:hAnsi="仿宋" w:eastAsia="仿宋" w:cs="仿宋"/>
                <w:bCs/>
                <w:sz w:val="24"/>
              </w:rPr>
            </w:pPr>
            <w:r>
              <w:rPr>
                <w:rFonts w:hint="eastAsia" w:ascii="仿宋" w:hAnsi="仿宋" w:eastAsia="仿宋" w:cs="仿宋"/>
                <w:bCs/>
                <w:sz w:val="24"/>
              </w:rPr>
              <w:t>参班代表姓名</w:t>
            </w:r>
          </w:p>
        </w:tc>
        <w:tc>
          <w:tcPr>
            <w:tcW w:w="771" w:type="dxa"/>
            <w:noWrap/>
            <w:vAlign w:val="center"/>
          </w:tcPr>
          <w:p w14:paraId="627A8253">
            <w:pPr>
              <w:spacing w:line="360" w:lineRule="exact"/>
              <w:ind w:right="84" w:rightChars="38"/>
              <w:jc w:val="both"/>
              <w:rPr>
                <w:rFonts w:ascii="仿宋" w:hAnsi="仿宋" w:eastAsia="仿宋" w:cs="仿宋"/>
                <w:bCs/>
                <w:sz w:val="24"/>
              </w:rPr>
            </w:pPr>
            <w:r>
              <w:rPr>
                <w:rFonts w:hint="eastAsia" w:ascii="仿宋" w:hAnsi="仿宋" w:eastAsia="仿宋" w:cs="仿宋"/>
                <w:bCs/>
                <w:sz w:val="24"/>
              </w:rPr>
              <w:t>性别</w:t>
            </w:r>
          </w:p>
        </w:tc>
        <w:tc>
          <w:tcPr>
            <w:tcW w:w="1374" w:type="dxa"/>
            <w:noWrap/>
            <w:vAlign w:val="center"/>
          </w:tcPr>
          <w:p w14:paraId="10E699B9">
            <w:pPr>
              <w:spacing w:line="360" w:lineRule="exact"/>
              <w:ind w:right="84" w:rightChars="38"/>
              <w:jc w:val="both"/>
              <w:rPr>
                <w:rFonts w:ascii="仿宋" w:hAnsi="仿宋" w:eastAsia="仿宋" w:cs="仿宋"/>
                <w:bCs/>
                <w:sz w:val="24"/>
              </w:rPr>
            </w:pPr>
            <w:r>
              <w:rPr>
                <w:rFonts w:hint="eastAsia" w:ascii="仿宋" w:hAnsi="仿宋" w:eastAsia="仿宋" w:cs="仿宋"/>
                <w:bCs/>
                <w:sz w:val="24"/>
              </w:rPr>
              <w:t>部门</w:t>
            </w:r>
          </w:p>
        </w:tc>
        <w:tc>
          <w:tcPr>
            <w:tcW w:w="1418" w:type="dxa"/>
            <w:noWrap/>
            <w:vAlign w:val="center"/>
          </w:tcPr>
          <w:p w14:paraId="79A41370">
            <w:pPr>
              <w:spacing w:line="360" w:lineRule="exact"/>
              <w:ind w:right="84" w:rightChars="38"/>
              <w:jc w:val="both"/>
              <w:rPr>
                <w:rFonts w:ascii="仿宋" w:hAnsi="仿宋" w:eastAsia="仿宋" w:cs="仿宋"/>
                <w:bCs/>
                <w:sz w:val="24"/>
              </w:rPr>
            </w:pPr>
            <w:r>
              <w:rPr>
                <w:rFonts w:hint="eastAsia" w:ascii="仿宋" w:hAnsi="仿宋" w:eastAsia="仿宋" w:cs="仿宋"/>
                <w:bCs/>
                <w:sz w:val="24"/>
              </w:rPr>
              <w:t>职务</w:t>
            </w:r>
          </w:p>
        </w:tc>
        <w:tc>
          <w:tcPr>
            <w:tcW w:w="1984" w:type="dxa"/>
            <w:gridSpan w:val="3"/>
            <w:noWrap/>
            <w:vAlign w:val="center"/>
          </w:tcPr>
          <w:p w14:paraId="268AA999">
            <w:pPr>
              <w:spacing w:line="360" w:lineRule="exact"/>
              <w:ind w:right="84" w:rightChars="38"/>
              <w:jc w:val="both"/>
              <w:rPr>
                <w:rFonts w:ascii="仿宋" w:hAnsi="仿宋" w:eastAsia="仿宋" w:cs="仿宋"/>
                <w:bCs/>
                <w:sz w:val="24"/>
              </w:rPr>
            </w:pPr>
            <w:r>
              <w:rPr>
                <w:rFonts w:hint="eastAsia" w:ascii="仿宋" w:hAnsi="仿宋" w:eastAsia="仿宋" w:cs="仿宋"/>
                <w:bCs/>
                <w:sz w:val="24"/>
              </w:rPr>
              <w:t>手机</w:t>
            </w:r>
          </w:p>
        </w:tc>
        <w:tc>
          <w:tcPr>
            <w:tcW w:w="1447" w:type="dxa"/>
            <w:gridSpan w:val="2"/>
            <w:noWrap/>
            <w:vAlign w:val="center"/>
          </w:tcPr>
          <w:p w14:paraId="30991A71">
            <w:pPr>
              <w:spacing w:line="360" w:lineRule="exact"/>
              <w:ind w:right="84" w:rightChars="38"/>
              <w:jc w:val="both"/>
              <w:rPr>
                <w:rFonts w:ascii="仿宋" w:hAnsi="仿宋" w:eastAsia="仿宋" w:cs="仿宋"/>
                <w:bCs/>
                <w:sz w:val="24"/>
              </w:rPr>
            </w:pPr>
            <w:r>
              <w:rPr>
                <w:rFonts w:hint="eastAsia" w:ascii="仿宋" w:hAnsi="仿宋" w:eastAsia="仿宋" w:cs="仿宋"/>
                <w:bCs/>
                <w:sz w:val="24"/>
              </w:rPr>
              <w:t>E-mail</w:t>
            </w:r>
          </w:p>
        </w:tc>
      </w:tr>
      <w:tr w14:paraId="3956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7274E3E9">
            <w:pPr>
              <w:spacing w:line="360" w:lineRule="exact"/>
              <w:ind w:right="84" w:rightChars="38"/>
              <w:jc w:val="both"/>
              <w:rPr>
                <w:rFonts w:ascii="仿宋" w:hAnsi="仿宋" w:eastAsia="仿宋" w:cs="仿宋"/>
                <w:bCs/>
                <w:sz w:val="24"/>
              </w:rPr>
            </w:pPr>
          </w:p>
        </w:tc>
        <w:tc>
          <w:tcPr>
            <w:tcW w:w="771" w:type="dxa"/>
            <w:noWrap/>
            <w:vAlign w:val="center"/>
          </w:tcPr>
          <w:p w14:paraId="09584920">
            <w:pPr>
              <w:spacing w:line="360" w:lineRule="exact"/>
              <w:ind w:right="84" w:rightChars="38"/>
              <w:jc w:val="both"/>
              <w:rPr>
                <w:rFonts w:ascii="仿宋" w:hAnsi="仿宋" w:eastAsia="仿宋" w:cs="仿宋"/>
                <w:bCs/>
                <w:sz w:val="24"/>
              </w:rPr>
            </w:pPr>
          </w:p>
        </w:tc>
        <w:tc>
          <w:tcPr>
            <w:tcW w:w="1374" w:type="dxa"/>
            <w:noWrap/>
            <w:vAlign w:val="center"/>
          </w:tcPr>
          <w:p w14:paraId="1AF9FE42">
            <w:pPr>
              <w:spacing w:line="360" w:lineRule="exact"/>
              <w:ind w:right="84" w:rightChars="38"/>
              <w:jc w:val="both"/>
              <w:rPr>
                <w:rFonts w:ascii="仿宋" w:hAnsi="仿宋" w:eastAsia="仿宋" w:cs="仿宋"/>
                <w:bCs/>
                <w:sz w:val="24"/>
              </w:rPr>
            </w:pPr>
          </w:p>
        </w:tc>
        <w:tc>
          <w:tcPr>
            <w:tcW w:w="1418" w:type="dxa"/>
            <w:noWrap/>
            <w:vAlign w:val="center"/>
          </w:tcPr>
          <w:p w14:paraId="039BF535">
            <w:pPr>
              <w:spacing w:line="360" w:lineRule="exact"/>
              <w:ind w:right="84" w:rightChars="38"/>
              <w:jc w:val="both"/>
              <w:rPr>
                <w:rFonts w:ascii="仿宋" w:hAnsi="仿宋" w:eastAsia="仿宋" w:cs="仿宋"/>
                <w:bCs/>
                <w:sz w:val="24"/>
              </w:rPr>
            </w:pPr>
          </w:p>
        </w:tc>
        <w:tc>
          <w:tcPr>
            <w:tcW w:w="1984" w:type="dxa"/>
            <w:gridSpan w:val="3"/>
            <w:noWrap/>
            <w:vAlign w:val="center"/>
          </w:tcPr>
          <w:p w14:paraId="111AB3D2">
            <w:pPr>
              <w:spacing w:line="360" w:lineRule="exact"/>
              <w:ind w:right="84" w:rightChars="38"/>
              <w:jc w:val="both"/>
              <w:rPr>
                <w:rFonts w:ascii="仿宋" w:hAnsi="仿宋" w:eastAsia="仿宋" w:cs="仿宋"/>
                <w:bCs/>
                <w:sz w:val="24"/>
              </w:rPr>
            </w:pPr>
          </w:p>
        </w:tc>
        <w:tc>
          <w:tcPr>
            <w:tcW w:w="1447" w:type="dxa"/>
            <w:gridSpan w:val="2"/>
            <w:noWrap/>
            <w:vAlign w:val="center"/>
          </w:tcPr>
          <w:p w14:paraId="4871304B">
            <w:pPr>
              <w:spacing w:line="360" w:lineRule="exact"/>
              <w:ind w:right="84" w:rightChars="38"/>
              <w:jc w:val="both"/>
              <w:rPr>
                <w:rFonts w:ascii="仿宋" w:hAnsi="仿宋" w:eastAsia="仿宋" w:cs="仿宋"/>
                <w:bCs/>
                <w:sz w:val="24"/>
              </w:rPr>
            </w:pPr>
          </w:p>
        </w:tc>
      </w:tr>
      <w:tr w14:paraId="3E3B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4658765F">
            <w:pPr>
              <w:spacing w:line="360" w:lineRule="exact"/>
              <w:ind w:right="84" w:rightChars="38"/>
              <w:jc w:val="both"/>
              <w:rPr>
                <w:rFonts w:ascii="仿宋" w:hAnsi="仿宋" w:eastAsia="仿宋" w:cs="仿宋"/>
                <w:bCs/>
                <w:sz w:val="24"/>
              </w:rPr>
            </w:pPr>
          </w:p>
        </w:tc>
        <w:tc>
          <w:tcPr>
            <w:tcW w:w="771" w:type="dxa"/>
            <w:noWrap/>
            <w:vAlign w:val="center"/>
          </w:tcPr>
          <w:p w14:paraId="4AC202BD">
            <w:pPr>
              <w:spacing w:line="360" w:lineRule="exact"/>
              <w:ind w:right="84" w:rightChars="38"/>
              <w:jc w:val="both"/>
              <w:rPr>
                <w:rFonts w:ascii="仿宋" w:hAnsi="仿宋" w:eastAsia="仿宋" w:cs="仿宋"/>
                <w:bCs/>
                <w:sz w:val="24"/>
              </w:rPr>
            </w:pPr>
          </w:p>
        </w:tc>
        <w:tc>
          <w:tcPr>
            <w:tcW w:w="1374" w:type="dxa"/>
            <w:noWrap/>
            <w:vAlign w:val="center"/>
          </w:tcPr>
          <w:p w14:paraId="0FEFD98A">
            <w:pPr>
              <w:spacing w:line="360" w:lineRule="exact"/>
              <w:ind w:right="84" w:rightChars="38"/>
              <w:jc w:val="both"/>
              <w:rPr>
                <w:rFonts w:ascii="仿宋" w:hAnsi="仿宋" w:eastAsia="仿宋" w:cs="仿宋"/>
                <w:bCs/>
                <w:sz w:val="24"/>
              </w:rPr>
            </w:pPr>
          </w:p>
        </w:tc>
        <w:tc>
          <w:tcPr>
            <w:tcW w:w="1418" w:type="dxa"/>
            <w:noWrap/>
            <w:vAlign w:val="center"/>
          </w:tcPr>
          <w:p w14:paraId="7F79448B">
            <w:pPr>
              <w:spacing w:line="360" w:lineRule="exact"/>
              <w:ind w:right="84" w:rightChars="38"/>
              <w:jc w:val="both"/>
              <w:rPr>
                <w:rFonts w:ascii="仿宋" w:hAnsi="仿宋" w:eastAsia="仿宋" w:cs="仿宋"/>
                <w:bCs/>
                <w:sz w:val="24"/>
              </w:rPr>
            </w:pPr>
          </w:p>
        </w:tc>
        <w:tc>
          <w:tcPr>
            <w:tcW w:w="1984" w:type="dxa"/>
            <w:gridSpan w:val="3"/>
            <w:noWrap/>
            <w:vAlign w:val="center"/>
          </w:tcPr>
          <w:p w14:paraId="6A477849">
            <w:pPr>
              <w:spacing w:line="360" w:lineRule="exact"/>
              <w:ind w:right="84" w:rightChars="38"/>
              <w:jc w:val="both"/>
              <w:rPr>
                <w:rFonts w:ascii="仿宋" w:hAnsi="仿宋" w:eastAsia="仿宋" w:cs="仿宋"/>
                <w:bCs/>
                <w:sz w:val="24"/>
              </w:rPr>
            </w:pPr>
          </w:p>
        </w:tc>
        <w:tc>
          <w:tcPr>
            <w:tcW w:w="1447" w:type="dxa"/>
            <w:gridSpan w:val="2"/>
            <w:noWrap/>
            <w:vAlign w:val="center"/>
          </w:tcPr>
          <w:p w14:paraId="52DE8905">
            <w:pPr>
              <w:spacing w:line="360" w:lineRule="exact"/>
              <w:ind w:right="84" w:rightChars="38"/>
              <w:jc w:val="both"/>
              <w:rPr>
                <w:rFonts w:ascii="仿宋" w:hAnsi="仿宋" w:eastAsia="仿宋" w:cs="仿宋"/>
                <w:bCs/>
                <w:sz w:val="24"/>
              </w:rPr>
            </w:pPr>
          </w:p>
        </w:tc>
      </w:tr>
      <w:tr w14:paraId="201F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099F22B2">
            <w:pPr>
              <w:spacing w:line="360" w:lineRule="exact"/>
              <w:ind w:right="84" w:rightChars="38"/>
              <w:jc w:val="both"/>
              <w:rPr>
                <w:rFonts w:ascii="仿宋" w:hAnsi="仿宋" w:eastAsia="仿宋" w:cs="仿宋"/>
                <w:bCs/>
                <w:sz w:val="24"/>
              </w:rPr>
            </w:pPr>
          </w:p>
        </w:tc>
        <w:tc>
          <w:tcPr>
            <w:tcW w:w="771" w:type="dxa"/>
            <w:noWrap/>
            <w:vAlign w:val="center"/>
          </w:tcPr>
          <w:p w14:paraId="3902B006">
            <w:pPr>
              <w:spacing w:line="360" w:lineRule="exact"/>
              <w:ind w:right="84" w:rightChars="38"/>
              <w:jc w:val="both"/>
              <w:rPr>
                <w:rFonts w:ascii="仿宋" w:hAnsi="仿宋" w:eastAsia="仿宋" w:cs="仿宋"/>
                <w:bCs/>
                <w:sz w:val="24"/>
              </w:rPr>
            </w:pPr>
          </w:p>
        </w:tc>
        <w:tc>
          <w:tcPr>
            <w:tcW w:w="1374" w:type="dxa"/>
            <w:noWrap/>
            <w:vAlign w:val="center"/>
          </w:tcPr>
          <w:p w14:paraId="3727BA36">
            <w:pPr>
              <w:spacing w:line="360" w:lineRule="exact"/>
              <w:ind w:right="84" w:rightChars="38"/>
              <w:jc w:val="both"/>
              <w:rPr>
                <w:rFonts w:ascii="仿宋" w:hAnsi="仿宋" w:eastAsia="仿宋" w:cs="仿宋"/>
                <w:bCs/>
                <w:sz w:val="24"/>
              </w:rPr>
            </w:pPr>
          </w:p>
        </w:tc>
        <w:tc>
          <w:tcPr>
            <w:tcW w:w="1418" w:type="dxa"/>
            <w:noWrap/>
            <w:vAlign w:val="center"/>
          </w:tcPr>
          <w:p w14:paraId="0A1F6FE7">
            <w:pPr>
              <w:spacing w:line="360" w:lineRule="exact"/>
              <w:ind w:right="84" w:rightChars="38"/>
              <w:jc w:val="both"/>
              <w:rPr>
                <w:rFonts w:ascii="仿宋" w:hAnsi="仿宋" w:eastAsia="仿宋" w:cs="仿宋"/>
                <w:bCs/>
                <w:sz w:val="24"/>
              </w:rPr>
            </w:pPr>
          </w:p>
        </w:tc>
        <w:tc>
          <w:tcPr>
            <w:tcW w:w="1984" w:type="dxa"/>
            <w:gridSpan w:val="3"/>
            <w:noWrap/>
            <w:vAlign w:val="center"/>
          </w:tcPr>
          <w:p w14:paraId="7314B2ED">
            <w:pPr>
              <w:spacing w:line="360" w:lineRule="exact"/>
              <w:ind w:right="84" w:rightChars="38"/>
              <w:jc w:val="both"/>
              <w:rPr>
                <w:rFonts w:ascii="仿宋" w:hAnsi="仿宋" w:eastAsia="仿宋" w:cs="仿宋"/>
                <w:bCs/>
                <w:sz w:val="24"/>
              </w:rPr>
            </w:pPr>
          </w:p>
        </w:tc>
        <w:tc>
          <w:tcPr>
            <w:tcW w:w="1447" w:type="dxa"/>
            <w:gridSpan w:val="2"/>
            <w:noWrap/>
            <w:vAlign w:val="center"/>
          </w:tcPr>
          <w:p w14:paraId="7C212F45">
            <w:pPr>
              <w:spacing w:line="360" w:lineRule="exact"/>
              <w:ind w:right="84" w:rightChars="38"/>
              <w:jc w:val="both"/>
              <w:rPr>
                <w:rFonts w:ascii="仿宋" w:hAnsi="仿宋" w:eastAsia="仿宋" w:cs="仿宋"/>
                <w:bCs/>
                <w:sz w:val="24"/>
              </w:rPr>
            </w:pPr>
          </w:p>
        </w:tc>
      </w:tr>
      <w:tr w14:paraId="0758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07E43D32">
            <w:pPr>
              <w:spacing w:line="360" w:lineRule="exact"/>
              <w:ind w:right="84" w:rightChars="38"/>
              <w:jc w:val="both"/>
              <w:rPr>
                <w:rFonts w:ascii="仿宋" w:hAnsi="仿宋" w:eastAsia="仿宋" w:cs="仿宋"/>
                <w:bCs/>
                <w:sz w:val="24"/>
              </w:rPr>
            </w:pPr>
          </w:p>
        </w:tc>
        <w:tc>
          <w:tcPr>
            <w:tcW w:w="771" w:type="dxa"/>
            <w:noWrap/>
            <w:vAlign w:val="center"/>
          </w:tcPr>
          <w:p w14:paraId="5A0C4A9B">
            <w:pPr>
              <w:spacing w:line="360" w:lineRule="exact"/>
              <w:ind w:right="84" w:rightChars="38"/>
              <w:jc w:val="both"/>
              <w:rPr>
                <w:rFonts w:ascii="仿宋" w:hAnsi="仿宋" w:eastAsia="仿宋" w:cs="仿宋"/>
                <w:bCs/>
                <w:sz w:val="24"/>
              </w:rPr>
            </w:pPr>
          </w:p>
        </w:tc>
        <w:tc>
          <w:tcPr>
            <w:tcW w:w="1374" w:type="dxa"/>
            <w:noWrap/>
            <w:vAlign w:val="center"/>
          </w:tcPr>
          <w:p w14:paraId="2496F2ED">
            <w:pPr>
              <w:spacing w:line="360" w:lineRule="exact"/>
              <w:ind w:right="84" w:rightChars="38"/>
              <w:jc w:val="both"/>
              <w:rPr>
                <w:rFonts w:ascii="仿宋" w:hAnsi="仿宋" w:eastAsia="仿宋" w:cs="仿宋"/>
                <w:bCs/>
                <w:sz w:val="24"/>
              </w:rPr>
            </w:pPr>
          </w:p>
        </w:tc>
        <w:tc>
          <w:tcPr>
            <w:tcW w:w="1418" w:type="dxa"/>
            <w:noWrap/>
            <w:vAlign w:val="center"/>
          </w:tcPr>
          <w:p w14:paraId="4DF24709">
            <w:pPr>
              <w:spacing w:line="360" w:lineRule="exact"/>
              <w:ind w:right="84" w:rightChars="38"/>
              <w:jc w:val="both"/>
              <w:rPr>
                <w:rFonts w:ascii="仿宋" w:hAnsi="仿宋" w:eastAsia="仿宋" w:cs="仿宋"/>
                <w:bCs/>
                <w:sz w:val="24"/>
              </w:rPr>
            </w:pPr>
          </w:p>
        </w:tc>
        <w:tc>
          <w:tcPr>
            <w:tcW w:w="1984" w:type="dxa"/>
            <w:gridSpan w:val="3"/>
            <w:noWrap/>
            <w:vAlign w:val="center"/>
          </w:tcPr>
          <w:p w14:paraId="629C1569">
            <w:pPr>
              <w:spacing w:line="360" w:lineRule="exact"/>
              <w:ind w:right="84" w:rightChars="38"/>
              <w:jc w:val="both"/>
              <w:rPr>
                <w:rFonts w:ascii="仿宋" w:hAnsi="仿宋" w:eastAsia="仿宋" w:cs="仿宋"/>
                <w:bCs/>
                <w:sz w:val="24"/>
              </w:rPr>
            </w:pPr>
          </w:p>
        </w:tc>
        <w:tc>
          <w:tcPr>
            <w:tcW w:w="1447" w:type="dxa"/>
            <w:gridSpan w:val="2"/>
            <w:noWrap/>
            <w:vAlign w:val="center"/>
          </w:tcPr>
          <w:p w14:paraId="18EE41A0">
            <w:pPr>
              <w:spacing w:line="360" w:lineRule="exact"/>
              <w:ind w:right="84" w:rightChars="38"/>
              <w:jc w:val="both"/>
              <w:rPr>
                <w:rFonts w:ascii="仿宋" w:hAnsi="仿宋" w:eastAsia="仿宋" w:cs="仿宋"/>
                <w:bCs/>
                <w:sz w:val="24"/>
              </w:rPr>
            </w:pPr>
          </w:p>
        </w:tc>
      </w:tr>
      <w:tr w14:paraId="3F63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64888135">
            <w:pPr>
              <w:spacing w:line="360" w:lineRule="exact"/>
              <w:ind w:right="84" w:rightChars="38"/>
              <w:jc w:val="both"/>
              <w:rPr>
                <w:rFonts w:ascii="仿宋" w:hAnsi="仿宋" w:eastAsia="仿宋" w:cs="仿宋"/>
                <w:bCs/>
                <w:sz w:val="24"/>
              </w:rPr>
            </w:pPr>
          </w:p>
        </w:tc>
        <w:tc>
          <w:tcPr>
            <w:tcW w:w="771" w:type="dxa"/>
            <w:noWrap/>
            <w:vAlign w:val="center"/>
          </w:tcPr>
          <w:p w14:paraId="63D1AB50">
            <w:pPr>
              <w:spacing w:line="360" w:lineRule="exact"/>
              <w:ind w:right="84" w:rightChars="38"/>
              <w:jc w:val="both"/>
              <w:rPr>
                <w:rFonts w:ascii="仿宋" w:hAnsi="仿宋" w:eastAsia="仿宋" w:cs="仿宋"/>
                <w:bCs/>
                <w:sz w:val="24"/>
              </w:rPr>
            </w:pPr>
          </w:p>
        </w:tc>
        <w:tc>
          <w:tcPr>
            <w:tcW w:w="1374" w:type="dxa"/>
            <w:noWrap/>
            <w:vAlign w:val="center"/>
          </w:tcPr>
          <w:p w14:paraId="7DA60CD3">
            <w:pPr>
              <w:spacing w:line="360" w:lineRule="exact"/>
              <w:ind w:right="84" w:rightChars="38"/>
              <w:jc w:val="both"/>
              <w:rPr>
                <w:rFonts w:ascii="仿宋" w:hAnsi="仿宋" w:eastAsia="仿宋" w:cs="仿宋"/>
                <w:bCs/>
                <w:sz w:val="24"/>
              </w:rPr>
            </w:pPr>
          </w:p>
        </w:tc>
        <w:tc>
          <w:tcPr>
            <w:tcW w:w="1418" w:type="dxa"/>
            <w:noWrap/>
            <w:vAlign w:val="center"/>
          </w:tcPr>
          <w:p w14:paraId="66470904">
            <w:pPr>
              <w:spacing w:line="360" w:lineRule="exact"/>
              <w:ind w:right="84" w:rightChars="38"/>
              <w:jc w:val="both"/>
              <w:rPr>
                <w:rFonts w:ascii="仿宋" w:hAnsi="仿宋" w:eastAsia="仿宋" w:cs="仿宋"/>
                <w:bCs/>
                <w:sz w:val="24"/>
              </w:rPr>
            </w:pPr>
          </w:p>
        </w:tc>
        <w:tc>
          <w:tcPr>
            <w:tcW w:w="1984" w:type="dxa"/>
            <w:gridSpan w:val="3"/>
            <w:noWrap/>
            <w:vAlign w:val="center"/>
          </w:tcPr>
          <w:p w14:paraId="4E31BCCA">
            <w:pPr>
              <w:spacing w:line="360" w:lineRule="exact"/>
              <w:ind w:right="84" w:rightChars="38"/>
              <w:jc w:val="both"/>
              <w:rPr>
                <w:rFonts w:ascii="仿宋" w:hAnsi="仿宋" w:eastAsia="仿宋" w:cs="仿宋"/>
                <w:bCs/>
                <w:sz w:val="24"/>
              </w:rPr>
            </w:pPr>
          </w:p>
        </w:tc>
        <w:tc>
          <w:tcPr>
            <w:tcW w:w="1447" w:type="dxa"/>
            <w:gridSpan w:val="2"/>
            <w:noWrap/>
            <w:vAlign w:val="center"/>
          </w:tcPr>
          <w:p w14:paraId="65245F28">
            <w:pPr>
              <w:spacing w:line="360" w:lineRule="exact"/>
              <w:ind w:right="84" w:rightChars="38"/>
              <w:jc w:val="both"/>
              <w:rPr>
                <w:rFonts w:ascii="仿宋" w:hAnsi="仿宋" w:eastAsia="仿宋" w:cs="仿宋"/>
                <w:bCs/>
                <w:sz w:val="24"/>
              </w:rPr>
            </w:pPr>
          </w:p>
        </w:tc>
      </w:tr>
      <w:tr w14:paraId="1FCE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14:paraId="64D4393B">
            <w:pPr>
              <w:spacing w:line="360" w:lineRule="exact"/>
              <w:ind w:right="84" w:rightChars="38"/>
              <w:jc w:val="both"/>
              <w:rPr>
                <w:rFonts w:ascii="仿宋" w:hAnsi="仿宋" w:eastAsia="仿宋" w:cs="仿宋"/>
                <w:bCs/>
                <w:sz w:val="24"/>
              </w:rPr>
            </w:pPr>
          </w:p>
        </w:tc>
        <w:tc>
          <w:tcPr>
            <w:tcW w:w="771" w:type="dxa"/>
            <w:noWrap/>
            <w:vAlign w:val="center"/>
          </w:tcPr>
          <w:p w14:paraId="3CA46B12">
            <w:pPr>
              <w:spacing w:line="360" w:lineRule="exact"/>
              <w:ind w:right="84" w:rightChars="38"/>
              <w:jc w:val="both"/>
              <w:rPr>
                <w:rFonts w:ascii="仿宋" w:hAnsi="仿宋" w:eastAsia="仿宋" w:cs="仿宋"/>
                <w:bCs/>
                <w:sz w:val="24"/>
              </w:rPr>
            </w:pPr>
          </w:p>
        </w:tc>
        <w:tc>
          <w:tcPr>
            <w:tcW w:w="1374" w:type="dxa"/>
            <w:noWrap/>
            <w:vAlign w:val="center"/>
          </w:tcPr>
          <w:p w14:paraId="0AAC54D4">
            <w:pPr>
              <w:spacing w:line="360" w:lineRule="exact"/>
              <w:ind w:right="84" w:rightChars="38"/>
              <w:jc w:val="both"/>
              <w:rPr>
                <w:rFonts w:ascii="仿宋" w:hAnsi="仿宋" w:eastAsia="仿宋" w:cs="仿宋"/>
                <w:bCs/>
                <w:sz w:val="24"/>
              </w:rPr>
            </w:pPr>
          </w:p>
        </w:tc>
        <w:tc>
          <w:tcPr>
            <w:tcW w:w="1418" w:type="dxa"/>
            <w:noWrap/>
            <w:vAlign w:val="center"/>
          </w:tcPr>
          <w:p w14:paraId="103F00D7">
            <w:pPr>
              <w:spacing w:line="360" w:lineRule="exact"/>
              <w:ind w:right="84" w:rightChars="38"/>
              <w:jc w:val="both"/>
              <w:rPr>
                <w:rFonts w:ascii="仿宋" w:hAnsi="仿宋" w:eastAsia="仿宋" w:cs="仿宋"/>
                <w:bCs/>
                <w:sz w:val="24"/>
              </w:rPr>
            </w:pPr>
          </w:p>
        </w:tc>
        <w:tc>
          <w:tcPr>
            <w:tcW w:w="1984" w:type="dxa"/>
            <w:gridSpan w:val="3"/>
            <w:noWrap/>
            <w:vAlign w:val="center"/>
          </w:tcPr>
          <w:p w14:paraId="5C0FF7F1">
            <w:pPr>
              <w:spacing w:line="360" w:lineRule="exact"/>
              <w:ind w:right="84" w:rightChars="38"/>
              <w:jc w:val="both"/>
              <w:rPr>
                <w:rFonts w:ascii="仿宋" w:hAnsi="仿宋" w:eastAsia="仿宋" w:cs="仿宋"/>
                <w:bCs/>
                <w:sz w:val="24"/>
              </w:rPr>
            </w:pPr>
          </w:p>
        </w:tc>
        <w:tc>
          <w:tcPr>
            <w:tcW w:w="1447" w:type="dxa"/>
            <w:gridSpan w:val="2"/>
            <w:noWrap/>
            <w:vAlign w:val="center"/>
          </w:tcPr>
          <w:p w14:paraId="6BA7CF76">
            <w:pPr>
              <w:spacing w:line="360" w:lineRule="exact"/>
              <w:ind w:right="84" w:rightChars="38"/>
              <w:jc w:val="both"/>
              <w:rPr>
                <w:rFonts w:ascii="仿宋" w:hAnsi="仿宋" w:eastAsia="仿宋" w:cs="仿宋"/>
                <w:bCs/>
                <w:sz w:val="24"/>
              </w:rPr>
            </w:pPr>
          </w:p>
        </w:tc>
      </w:tr>
      <w:tr w14:paraId="24C0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14:paraId="5A87EF1E">
            <w:pPr>
              <w:spacing w:line="360" w:lineRule="exact"/>
              <w:ind w:right="84" w:rightChars="38"/>
              <w:jc w:val="both"/>
              <w:rPr>
                <w:rFonts w:ascii="仿宋" w:hAnsi="仿宋" w:eastAsia="仿宋" w:cs="仿宋"/>
                <w:bCs/>
                <w:sz w:val="24"/>
              </w:rPr>
            </w:pPr>
          </w:p>
        </w:tc>
        <w:tc>
          <w:tcPr>
            <w:tcW w:w="771" w:type="dxa"/>
            <w:noWrap/>
            <w:vAlign w:val="center"/>
          </w:tcPr>
          <w:p w14:paraId="2BED25F8">
            <w:pPr>
              <w:spacing w:line="360" w:lineRule="exact"/>
              <w:ind w:right="84" w:rightChars="38"/>
              <w:jc w:val="both"/>
              <w:rPr>
                <w:rFonts w:ascii="仿宋" w:hAnsi="仿宋" w:eastAsia="仿宋" w:cs="仿宋"/>
                <w:bCs/>
                <w:sz w:val="24"/>
              </w:rPr>
            </w:pPr>
          </w:p>
        </w:tc>
        <w:tc>
          <w:tcPr>
            <w:tcW w:w="1374" w:type="dxa"/>
            <w:noWrap/>
            <w:vAlign w:val="center"/>
          </w:tcPr>
          <w:p w14:paraId="43D66D4A">
            <w:pPr>
              <w:spacing w:line="360" w:lineRule="exact"/>
              <w:ind w:right="84" w:rightChars="38"/>
              <w:jc w:val="both"/>
              <w:rPr>
                <w:rFonts w:ascii="仿宋" w:hAnsi="仿宋" w:eastAsia="仿宋" w:cs="仿宋"/>
                <w:bCs/>
                <w:sz w:val="24"/>
              </w:rPr>
            </w:pPr>
          </w:p>
        </w:tc>
        <w:tc>
          <w:tcPr>
            <w:tcW w:w="1418" w:type="dxa"/>
            <w:noWrap/>
            <w:vAlign w:val="center"/>
          </w:tcPr>
          <w:p w14:paraId="142B93B1">
            <w:pPr>
              <w:spacing w:line="360" w:lineRule="exact"/>
              <w:ind w:right="84" w:rightChars="38"/>
              <w:jc w:val="both"/>
              <w:rPr>
                <w:rFonts w:ascii="仿宋" w:hAnsi="仿宋" w:eastAsia="仿宋" w:cs="仿宋"/>
                <w:bCs/>
                <w:sz w:val="24"/>
              </w:rPr>
            </w:pPr>
          </w:p>
        </w:tc>
        <w:tc>
          <w:tcPr>
            <w:tcW w:w="1984" w:type="dxa"/>
            <w:gridSpan w:val="3"/>
            <w:noWrap/>
            <w:vAlign w:val="center"/>
          </w:tcPr>
          <w:p w14:paraId="66CD9EAD">
            <w:pPr>
              <w:spacing w:line="360" w:lineRule="exact"/>
              <w:ind w:right="84" w:rightChars="38"/>
              <w:jc w:val="both"/>
              <w:rPr>
                <w:rFonts w:ascii="仿宋" w:hAnsi="仿宋" w:eastAsia="仿宋" w:cs="仿宋"/>
                <w:bCs/>
                <w:sz w:val="24"/>
              </w:rPr>
            </w:pPr>
          </w:p>
        </w:tc>
        <w:tc>
          <w:tcPr>
            <w:tcW w:w="1447" w:type="dxa"/>
            <w:gridSpan w:val="2"/>
            <w:noWrap/>
            <w:vAlign w:val="center"/>
          </w:tcPr>
          <w:p w14:paraId="794D4795">
            <w:pPr>
              <w:spacing w:line="360" w:lineRule="exact"/>
              <w:ind w:right="84" w:rightChars="38"/>
              <w:jc w:val="both"/>
              <w:rPr>
                <w:rFonts w:ascii="仿宋" w:hAnsi="仿宋" w:eastAsia="仿宋" w:cs="仿宋"/>
                <w:bCs/>
                <w:sz w:val="24"/>
              </w:rPr>
            </w:pPr>
          </w:p>
        </w:tc>
      </w:tr>
      <w:tr w14:paraId="5D25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14:paraId="797911E2">
            <w:pPr>
              <w:spacing w:line="360" w:lineRule="exact"/>
              <w:ind w:right="84" w:rightChars="38"/>
              <w:jc w:val="both"/>
              <w:rPr>
                <w:rFonts w:ascii="仿宋" w:hAnsi="仿宋" w:eastAsia="仿宋" w:cs="仿宋"/>
                <w:bCs/>
                <w:sz w:val="24"/>
              </w:rPr>
            </w:pPr>
            <w:r>
              <w:rPr>
                <w:rFonts w:hint="eastAsia" w:ascii="仿宋" w:hAnsi="仿宋" w:eastAsia="仿宋" w:cs="仿宋"/>
                <w:bCs/>
                <w:sz w:val="24"/>
              </w:rPr>
              <w:t>住宿安排</w:t>
            </w:r>
          </w:p>
        </w:tc>
        <w:tc>
          <w:tcPr>
            <w:tcW w:w="6994" w:type="dxa"/>
            <w:gridSpan w:val="8"/>
            <w:noWrap/>
            <w:vAlign w:val="center"/>
          </w:tcPr>
          <w:p w14:paraId="34AFF3B4">
            <w:pPr>
              <w:spacing w:line="360" w:lineRule="exact"/>
              <w:ind w:right="84" w:rightChars="38"/>
              <w:jc w:val="both"/>
              <w:rPr>
                <w:rFonts w:ascii="仿宋" w:hAnsi="仿宋" w:eastAsia="仿宋" w:cs="仿宋"/>
                <w:bCs/>
                <w:sz w:val="24"/>
              </w:rPr>
            </w:pPr>
            <w:r>
              <w:rPr>
                <w:rFonts w:hint="eastAsia" w:ascii="仿宋" w:hAnsi="仿宋" w:eastAsia="仿宋" w:cs="仿宋"/>
                <w:bCs/>
                <w:sz w:val="24"/>
              </w:rPr>
              <w:t>□单间     □标间   订房数量</w:t>
            </w:r>
            <w:r>
              <w:rPr>
                <w:rFonts w:hint="eastAsia" w:ascii="仿宋" w:hAnsi="仿宋" w:eastAsia="仿宋" w:cs="仿宋"/>
                <w:bCs/>
                <w:sz w:val="24"/>
                <w:u w:val="single"/>
              </w:rPr>
              <w:t xml:space="preserve">    </w:t>
            </w:r>
            <w:r>
              <w:rPr>
                <w:rFonts w:hint="eastAsia" w:ascii="仿宋" w:hAnsi="仿宋" w:eastAsia="仿宋" w:cs="仿宋"/>
                <w:bCs/>
                <w:sz w:val="24"/>
              </w:rPr>
              <w:t xml:space="preserve">间    □否    </w:t>
            </w:r>
            <w:r>
              <w:rPr>
                <w:rFonts w:hint="eastAsia" w:ascii="仿宋" w:hAnsi="仿宋" w:eastAsia="仿宋" w:cs="仿宋"/>
                <w:bCs/>
                <w:sz w:val="24"/>
              </w:rPr>
              <w:sym w:font="Wingdings 2" w:char="00A3"/>
            </w:r>
            <w:r>
              <w:rPr>
                <w:rFonts w:hint="eastAsia" w:ascii="仿宋" w:hAnsi="仿宋" w:eastAsia="仿宋" w:cs="仿宋"/>
                <w:bCs/>
                <w:sz w:val="24"/>
              </w:rPr>
              <w:t>自行安排</w:t>
            </w:r>
          </w:p>
        </w:tc>
      </w:tr>
      <w:tr w14:paraId="5D77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14:paraId="70F3B78E">
            <w:pPr>
              <w:spacing w:line="360" w:lineRule="exact"/>
              <w:ind w:right="84" w:rightChars="38"/>
              <w:jc w:val="both"/>
              <w:rPr>
                <w:rFonts w:ascii="仿宋" w:hAnsi="仿宋" w:eastAsia="仿宋" w:cs="仿宋"/>
                <w:bCs/>
                <w:sz w:val="24"/>
              </w:rPr>
            </w:pPr>
            <w:r>
              <w:rPr>
                <w:rFonts w:hint="eastAsia" w:ascii="仿宋" w:hAnsi="仿宋" w:eastAsia="仿宋" w:cs="仿宋"/>
                <w:bCs/>
                <w:sz w:val="24"/>
              </w:rPr>
              <w:t>参会地点</w:t>
            </w:r>
          </w:p>
        </w:tc>
        <w:tc>
          <w:tcPr>
            <w:tcW w:w="4365" w:type="dxa"/>
            <w:gridSpan w:val="4"/>
            <w:noWrap/>
            <w:vAlign w:val="center"/>
          </w:tcPr>
          <w:p w14:paraId="50D5B440">
            <w:pPr>
              <w:spacing w:line="360" w:lineRule="exact"/>
              <w:ind w:right="84" w:rightChars="38"/>
              <w:jc w:val="both"/>
              <w:rPr>
                <w:rFonts w:hint="default" w:ascii="仿宋" w:hAnsi="仿宋" w:eastAsia="仿宋" w:cs="仿宋"/>
                <w:bCs/>
                <w:sz w:val="24"/>
                <w:lang w:val="en-US" w:eastAsia="zh-CN"/>
              </w:rPr>
            </w:pPr>
            <w:r>
              <w:rPr>
                <w:rFonts w:hint="eastAsia" w:ascii="仿宋" w:hAnsi="仿宋" w:eastAsia="仿宋" w:cs="仿宋"/>
                <w:bCs/>
                <w:sz w:val="24"/>
              </w:rPr>
              <w:sym w:font="Wingdings 2" w:char="00A3"/>
            </w:r>
            <w:r>
              <w:rPr>
                <w:rFonts w:hint="eastAsia" w:ascii="仿宋" w:hAnsi="仿宋" w:eastAsia="仿宋" w:cs="仿宋"/>
                <w:bCs/>
                <w:sz w:val="24"/>
              </w:rPr>
              <w:t xml:space="preserve">太原    </w:t>
            </w:r>
            <w:r>
              <w:rPr>
                <w:rFonts w:hint="eastAsia" w:ascii="仿宋" w:hAnsi="仿宋" w:eastAsia="仿宋" w:cs="仿宋"/>
                <w:bCs/>
                <w:sz w:val="24"/>
              </w:rPr>
              <w:sym w:font="Wingdings 2" w:char="00A3"/>
            </w:r>
            <w:r>
              <w:rPr>
                <w:rFonts w:hint="eastAsia" w:ascii="仿宋" w:hAnsi="仿宋" w:eastAsia="仿宋" w:cs="仿宋"/>
                <w:bCs/>
                <w:sz w:val="24"/>
                <w:lang w:val="en-US" w:eastAsia="zh-CN"/>
              </w:rPr>
              <w:t xml:space="preserve">上海   </w:t>
            </w:r>
            <w:r>
              <w:rPr>
                <w:rFonts w:hint="eastAsia" w:ascii="仿宋" w:hAnsi="仿宋" w:eastAsia="仿宋" w:cs="仿宋"/>
                <w:bCs/>
                <w:sz w:val="24"/>
              </w:rPr>
              <w:t xml:space="preserve"> </w:t>
            </w:r>
            <w:r>
              <w:rPr>
                <w:rFonts w:hint="eastAsia" w:ascii="仿宋" w:hAnsi="仿宋" w:eastAsia="仿宋" w:cs="仿宋"/>
                <w:bCs/>
                <w:sz w:val="24"/>
              </w:rPr>
              <w:sym w:font="Wingdings 2" w:char="00A3"/>
            </w:r>
            <w:r>
              <w:rPr>
                <w:rFonts w:hint="eastAsia" w:ascii="仿宋" w:hAnsi="仿宋" w:eastAsia="仿宋" w:cs="仿宋"/>
                <w:bCs/>
                <w:sz w:val="24"/>
                <w:lang w:val="en-US" w:eastAsia="zh-CN"/>
              </w:rPr>
              <w:t>北京</w:t>
            </w:r>
          </w:p>
        </w:tc>
        <w:tc>
          <w:tcPr>
            <w:tcW w:w="1680" w:type="dxa"/>
            <w:gridSpan w:val="3"/>
            <w:noWrap/>
            <w:vAlign w:val="center"/>
          </w:tcPr>
          <w:p w14:paraId="3170EA38">
            <w:pPr>
              <w:spacing w:line="360" w:lineRule="exact"/>
              <w:ind w:right="84" w:rightChars="38"/>
              <w:jc w:val="both"/>
              <w:rPr>
                <w:rFonts w:ascii="仿宋" w:hAnsi="仿宋" w:eastAsia="仿宋" w:cs="仿宋"/>
                <w:bCs/>
                <w:sz w:val="24"/>
              </w:rPr>
            </w:pPr>
            <w:r>
              <w:rPr>
                <w:rFonts w:hint="eastAsia" w:ascii="仿宋" w:hAnsi="仿宋" w:eastAsia="仿宋" w:cs="仿宋"/>
                <w:bCs/>
                <w:sz w:val="24"/>
              </w:rPr>
              <w:t>培训费用</w:t>
            </w:r>
          </w:p>
        </w:tc>
        <w:tc>
          <w:tcPr>
            <w:tcW w:w="949" w:type="dxa"/>
            <w:noWrap/>
            <w:vAlign w:val="center"/>
          </w:tcPr>
          <w:p w14:paraId="53D6408E">
            <w:pPr>
              <w:spacing w:line="360" w:lineRule="exact"/>
              <w:ind w:right="84" w:rightChars="38"/>
              <w:jc w:val="both"/>
              <w:rPr>
                <w:rFonts w:ascii="仿宋" w:hAnsi="仿宋" w:eastAsia="仿宋" w:cs="仿宋"/>
                <w:bCs/>
                <w:sz w:val="24"/>
              </w:rPr>
            </w:pPr>
          </w:p>
        </w:tc>
      </w:tr>
      <w:tr w14:paraId="6C95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14:paraId="4BE0B63B">
            <w:pPr>
              <w:spacing w:line="360" w:lineRule="exact"/>
              <w:ind w:right="84" w:rightChars="38"/>
              <w:jc w:val="both"/>
              <w:rPr>
                <w:rFonts w:ascii="仿宋" w:hAnsi="仿宋" w:eastAsia="仿宋" w:cs="仿宋"/>
                <w:bCs/>
                <w:sz w:val="24"/>
              </w:rPr>
            </w:pPr>
            <w:r>
              <w:rPr>
                <w:rFonts w:hint="eastAsia" w:ascii="仿宋" w:hAnsi="仿宋" w:eastAsia="仿宋" w:cs="仿宋"/>
                <w:bCs/>
                <w:sz w:val="24"/>
              </w:rPr>
              <w:t>付款方式</w:t>
            </w:r>
          </w:p>
        </w:tc>
        <w:tc>
          <w:tcPr>
            <w:tcW w:w="6994" w:type="dxa"/>
            <w:gridSpan w:val="8"/>
            <w:noWrap/>
            <w:vAlign w:val="center"/>
          </w:tcPr>
          <w:p w14:paraId="06BBC589">
            <w:pPr>
              <w:spacing w:line="360" w:lineRule="exact"/>
              <w:ind w:right="84" w:rightChars="38" w:firstLine="240" w:firstLineChars="100"/>
              <w:jc w:val="both"/>
              <w:rPr>
                <w:rFonts w:ascii="仿宋" w:hAnsi="仿宋" w:eastAsia="仿宋" w:cs="仿宋"/>
                <w:bCs/>
                <w:sz w:val="24"/>
              </w:rPr>
            </w:pPr>
            <w:r>
              <w:rPr>
                <w:rFonts w:hint="eastAsia" w:ascii="仿宋" w:hAnsi="仿宋" w:eastAsia="仿宋" w:cs="仿宋"/>
                <w:bCs/>
                <w:sz w:val="24"/>
              </w:rPr>
              <w:t>□通过银行        □刷卡      □现金   □微信/支付宝</w:t>
            </w:r>
          </w:p>
        </w:tc>
      </w:tr>
      <w:tr w14:paraId="01E1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14:paraId="4AC9330C">
            <w:pPr>
              <w:ind w:right="84" w:rightChars="38"/>
              <w:jc w:val="both"/>
              <w:rPr>
                <w:rFonts w:ascii="仿宋" w:hAnsi="仿宋" w:eastAsia="仿宋" w:cs="仿宋"/>
                <w:b/>
                <w:bCs/>
                <w:sz w:val="24"/>
                <w:lang w:val="zh-CN" w:bidi="zh-CN"/>
              </w:rPr>
            </w:pPr>
            <w:r>
              <w:rPr>
                <w:rFonts w:hint="eastAsia" w:ascii="仿宋" w:hAnsi="仿宋" w:eastAsia="仿宋" w:cs="仿宋"/>
                <w:b/>
                <w:bCs/>
                <w:sz w:val="24"/>
              </w:rPr>
              <w:t>发票类别</w:t>
            </w:r>
          </w:p>
        </w:tc>
        <w:tc>
          <w:tcPr>
            <w:tcW w:w="6994" w:type="dxa"/>
            <w:gridSpan w:val="8"/>
            <w:noWrap/>
          </w:tcPr>
          <w:p w14:paraId="23B83DAF">
            <w:pPr>
              <w:ind w:right="84" w:rightChars="38"/>
              <w:jc w:val="both"/>
              <w:rPr>
                <w:rFonts w:ascii="仿宋" w:hAnsi="仿宋" w:eastAsia="仿宋" w:cs="仿宋"/>
                <w:b/>
                <w:bCs/>
                <w:sz w:val="24"/>
              </w:rPr>
            </w:pPr>
            <w:r>
              <w:rPr>
                <w:rFonts w:hint="eastAsia" w:ascii="仿宋" w:hAnsi="仿宋" w:eastAsia="仿宋" w:cs="仿宋"/>
                <w:b/>
                <w:bCs/>
                <w:sz w:val="24"/>
              </w:rPr>
              <w:t>增值税（</w:t>
            </w:r>
            <w:r>
              <w:rPr>
                <w:rFonts w:hint="eastAsia" w:ascii="仿宋" w:hAnsi="仿宋" w:eastAsia="仿宋" w:cs="仿宋"/>
                <w:bCs/>
                <w:sz w:val="24"/>
              </w:rPr>
              <w:t>□</w:t>
            </w:r>
            <w:r>
              <w:rPr>
                <w:rFonts w:hint="eastAsia" w:ascii="仿宋" w:hAnsi="仿宋" w:eastAsia="仿宋" w:cs="仿宋"/>
                <w:b/>
                <w:bCs/>
                <w:sz w:val="24"/>
              </w:rPr>
              <w:t>普通□专用）发票,开票信息如下：</w:t>
            </w:r>
          </w:p>
          <w:p w14:paraId="6E2332BF">
            <w:pPr>
              <w:ind w:right="84" w:rightChars="38"/>
              <w:jc w:val="both"/>
              <w:rPr>
                <w:rFonts w:ascii="仿宋" w:hAnsi="仿宋" w:eastAsia="仿宋" w:cs="仿宋"/>
                <w:b/>
                <w:bCs/>
                <w:sz w:val="24"/>
              </w:rPr>
            </w:pPr>
            <w:r>
              <w:rPr>
                <w:rFonts w:hint="eastAsia" w:ascii="仿宋" w:hAnsi="仿宋" w:eastAsia="仿宋" w:cs="仿宋"/>
                <w:b/>
                <w:bCs/>
                <w:sz w:val="24"/>
              </w:rPr>
              <w:t>单 位 名 称：</w:t>
            </w:r>
          </w:p>
          <w:p w14:paraId="575EB0DD">
            <w:pPr>
              <w:ind w:right="84" w:rightChars="38"/>
              <w:jc w:val="both"/>
              <w:rPr>
                <w:rFonts w:ascii="仿宋" w:hAnsi="仿宋" w:eastAsia="仿宋" w:cs="仿宋"/>
                <w:b/>
                <w:bCs/>
                <w:sz w:val="24"/>
              </w:rPr>
            </w:pPr>
            <w:r>
              <w:rPr>
                <w:rFonts w:hint="eastAsia" w:ascii="仿宋" w:hAnsi="仿宋" w:eastAsia="仿宋" w:cs="仿宋"/>
                <w:b/>
                <w:bCs/>
                <w:sz w:val="24"/>
              </w:rPr>
              <w:t>税       号：</w:t>
            </w:r>
          </w:p>
          <w:p w14:paraId="66B3E247">
            <w:pPr>
              <w:ind w:right="84" w:rightChars="38"/>
              <w:jc w:val="both"/>
              <w:rPr>
                <w:rFonts w:ascii="仿宋" w:hAnsi="仿宋" w:eastAsia="仿宋" w:cs="仿宋"/>
                <w:b/>
                <w:bCs/>
                <w:sz w:val="24"/>
              </w:rPr>
            </w:pPr>
            <w:r>
              <w:rPr>
                <w:rFonts w:hint="eastAsia" w:ascii="仿宋" w:hAnsi="仿宋" w:eastAsia="仿宋" w:cs="仿宋"/>
                <w:b/>
                <w:bCs/>
                <w:sz w:val="24"/>
              </w:rPr>
              <w:t>地址、 电话：</w:t>
            </w:r>
          </w:p>
          <w:p w14:paraId="1DFCAF63">
            <w:pPr>
              <w:ind w:right="84" w:rightChars="38"/>
              <w:jc w:val="both"/>
              <w:rPr>
                <w:rFonts w:ascii="仿宋" w:hAnsi="仿宋" w:eastAsia="仿宋" w:cs="仿宋"/>
                <w:bCs/>
                <w:sz w:val="24"/>
              </w:rPr>
            </w:pPr>
            <w:r>
              <w:rPr>
                <w:rFonts w:hint="eastAsia" w:ascii="仿宋" w:hAnsi="仿宋" w:eastAsia="仿宋" w:cs="仿宋"/>
                <w:b/>
                <w:bCs/>
                <w:sz w:val="24"/>
              </w:rPr>
              <w:t>开户行、账号：</w:t>
            </w:r>
          </w:p>
        </w:tc>
      </w:tr>
      <w:tr w14:paraId="6C60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14:paraId="36295469">
            <w:pPr>
              <w:spacing w:line="360" w:lineRule="exact"/>
              <w:ind w:right="84" w:rightChars="38"/>
              <w:jc w:val="both"/>
              <w:rPr>
                <w:rFonts w:ascii="仿宋" w:hAnsi="仿宋" w:eastAsia="仿宋" w:cs="仿宋"/>
                <w:bCs/>
                <w:sz w:val="24"/>
                <w:lang w:val="zh-CN" w:bidi="zh-CN"/>
              </w:rPr>
            </w:pPr>
            <w:r>
              <w:rPr>
                <w:rFonts w:hint="eastAsia" w:ascii="仿宋" w:hAnsi="仿宋" w:eastAsia="仿宋" w:cs="仿宋"/>
                <w:bCs/>
                <w:sz w:val="24"/>
              </w:rPr>
              <w:t>指定收款账户</w:t>
            </w:r>
          </w:p>
        </w:tc>
        <w:tc>
          <w:tcPr>
            <w:tcW w:w="6994" w:type="dxa"/>
            <w:gridSpan w:val="8"/>
            <w:noWrap/>
            <w:vAlign w:val="center"/>
          </w:tcPr>
          <w:p w14:paraId="6A98120B">
            <w:pPr>
              <w:spacing w:line="340" w:lineRule="exact"/>
              <w:ind w:right="84" w:rightChars="38"/>
              <w:jc w:val="both"/>
              <w:rPr>
                <w:rFonts w:ascii="仿宋" w:hAnsi="仿宋" w:eastAsia="仿宋" w:cs="仿宋"/>
                <w:bCs/>
                <w:sz w:val="24"/>
                <w:szCs w:val="24"/>
                <w:lang w:val="ru-RU"/>
              </w:rPr>
            </w:pPr>
            <w:r>
              <w:rPr>
                <w:rFonts w:hint="eastAsia" w:ascii="仿宋" w:hAnsi="仿宋" w:eastAsia="仿宋" w:cs="仿宋"/>
                <w:bCs/>
                <w:sz w:val="24"/>
                <w:szCs w:val="24"/>
                <w:lang w:val="ru-RU"/>
              </w:rPr>
              <w:t>户  名：北京建术信息科技研究院有限公司</w:t>
            </w:r>
          </w:p>
          <w:p w14:paraId="66F90EEE">
            <w:pPr>
              <w:spacing w:line="340" w:lineRule="exact"/>
              <w:ind w:right="84" w:rightChars="38"/>
              <w:jc w:val="both"/>
              <w:rPr>
                <w:rFonts w:ascii="仿宋" w:hAnsi="仿宋" w:eastAsia="仿宋" w:cs="仿宋"/>
                <w:bCs/>
                <w:sz w:val="24"/>
                <w:szCs w:val="24"/>
                <w:lang w:val="ru-RU"/>
              </w:rPr>
            </w:pPr>
            <w:r>
              <w:rPr>
                <w:rFonts w:hint="eastAsia" w:ascii="仿宋" w:hAnsi="仿宋" w:eastAsia="仿宋" w:cs="仿宋"/>
                <w:bCs/>
                <w:sz w:val="24"/>
                <w:szCs w:val="24"/>
                <w:lang w:val="ru-RU"/>
              </w:rPr>
              <w:t>开户行：中国建设银行股份有限公司北京昌平小汤山支行</w:t>
            </w:r>
          </w:p>
          <w:p w14:paraId="5AFE6476">
            <w:pPr>
              <w:spacing w:line="340" w:lineRule="exact"/>
              <w:ind w:right="84" w:rightChars="38"/>
              <w:jc w:val="both"/>
              <w:rPr>
                <w:rFonts w:ascii="仿宋" w:hAnsi="仿宋" w:eastAsia="仿宋" w:cs="仿宋"/>
                <w:bCs/>
                <w:sz w:val="24"/>
                <w:lang w:bidi="zh-CN"/>
              </w:rPr>
            </w:pPr>
            <w:r>
              <w:rPr>
                <w:rFonts w:hint="eastAsia" w:ascii="仿宋" w:hAnsi="仿宋" w:eastAsia="仿宋" w:cs="仿宋"/>
                <w:bCs/>
                <w:sz w:val="24"/>
                <w:szCs w:val="24"/>
                <w:lang w:val="ru-RU"/>
              </w:rPr>
              <w:t>账  号：1105 0110 2401 0900 0164</w:t>
            </w:r>
            <w:bookmarkStart w:id="0" w:name="_GoBack"/>
            <w:bookmarkEnd w:id="0"/>
          </w:p>
        </w:tc>
      </w:tr>
      <w:tr w14:paraId="6B20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2" w:type="dxa"/>
            <w:noWrap/>
            <w:vAlign w:val="center"/>
          </w:tcPr>
          <w:p w14:paraId="5D16855F">
            <w:pPr>
              <w:spacing w:line="360" w:lineRule="exact"/>
              <w:ind w:right="84" w:rightChars="38"/>
              <w:jc w:val="both"/>
              <w:rPr>
                <w:rFonts w:ascii="仿宋" w:hAnsi="仿宋" w:eastAsia="仿宋" w:cs="仿宋"/>
                <w:bCs/>
                <w:sz w:val="24"/>
              </w:rPr>
            </w:pPr>
            <w:r>
              <w:rPr>
                <w:rFonts w:hint="eastAsia" w:ascii="仿宋" w:hAnsi="仿宋" w:eastAsia="仿宋" w:cs="仿宋"/>
                <w:bCs/>
                <w:sz w:val="24"/>
              </w:rPr>
              <w:t>参会方式</w:t>
            </w:r>
          </w:p>
        </w:tc>
        <w:tc>
          <w:tcPr>
            <w:tcW w:w="6994" w:type="dxa"/>
            <w:gridSpan w:val="8"/>
            <w:noWrap/>
            <w:vAlign w:val="center"/>
          </w:tcPr>
          <w:p w14:paraId="440767A7">
            <w:pPr>
              <w:spacing w:line="360" w:lineRule="exact"/>
              <w:ind w:right="84" w:rightChars="38"/>
              <w:jc w:val="both"/>
              <w:rPr>
                <w:rFonts w:ascii="仿宋" w:hAnsi="仿宋" w:eastAsia="仿宋" w:cs="仿宋"/>
                <w:bCs/>
                <w:sz w:val="24"/>
              </w:rPr>
            </w:pPr>
            <w:r>
              <w:rPr>
                <w:rFonts w:hint="eastAsia" w:ascii="仿宋" w:hAnsi="仿宋" w:eastAsia="仿宋" w:cs="仿宋"/>
                <w:bCs/>
                <w:sz w:val="24"/>
              </w:rPr>
              <w:t>请参会单位把参会回执回传至会务组，会务组确认后即发《参会凭证》，其中将详细注明报到时间、报到地点、食宿等具体安排事项。</w:t>
            </w:r>
          </w:p>
        </w:tc>
      </w:tr>
    </w:tbl>
    <w:p w14:paraId="4E31CC1A">
      <w:pPr>
        <w:spacing w:line="480" w:lineRule="exact"/>
        <w:ind w:right="84" w:rightChars="38"/>
        <w:jc w:val="both"/>
        <w:rPr>
          <w:rStyle w:val="8"/>
          <w:rFonts w:ascii="黑体" w:hAnsi="黑体" w:eastAsia="黑体" w:cs="宋体"/>
          <w:b w:val="0"/>
          <w:color w:val="000000"/>
          <w:sz w:val="28"/>
          <w:szCs w:val="28"/>
          <w:lang w:val="zh-CN"/>
        </w:rPr>
      </w:pPr>
      <w:r>
        <w:rPr>
          <w:rStyle w:val="8"/>
          <w:rFonts w:hint="eastAsia" w:ascii="黑体" w:hAnsi="黑体" w:eastAsia="黑体" w:cs="宋体"/>
          <w:color w:val="000000"/>
          <w:sz w:val="28"/>
          <w:szCs w:val="28"/>
        </w:rPr>
        <w:t>注：</w:t>
      </w:r>
      <w:r>
        <w:rPr>
          <w:rStyle w:val="8"/>
          <w:rFonts w:hint="eastAsia" w:ascii="黑体" w:hAnsi="黑体" w:eastAsia="黑体" w:cs="宋体"/>
          <w:color w:val="000000"/>
          <w:lang w:val="zh-CN"/>
        </w:rPr>
        <w:t>为保证培训质量，培训班名额有限，额满为止，请确定人员后及早报名。</w:t>
      </w:r>
    </w:p>
    <w:p w14:paraId="4B7DF2FF">
      <w:pPr>
        <w:spacing w:line="400" w:lineRule="exact"/>
        <w:ind w:right="84" w:rightChars="38" w:firstLine="488" w:firstLineChars="200"/>
        <w:jc w:val="both"/>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 xml:space="preserve">报名负责人：聂红军 主任18211071700（微信）   </w:t>
      </w:r>
    </w:p>
    <w:p w14:paraId="7D09C57E">
      <w:pPr>
        <w:spacing w:line="400" w:lineRule="exact"/>
        <w:ind w:right="84" w:rightChars="38" w:firstLine="488" w:firstLineChars="200"/>
        <w:jc w:val="both"/>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 xml:space="preserve">电    话：13141289128        邮    箱：zqgphwz@126.com  </w:t>
      </w:r>
    </w:p>
    <w:p w14:paraId="712830D7">
      <w:pPr>
        <w:spacing w:line="400" w:lineRule="exact"/>
        <w:ind w:right="84" w:rightChars="38" w:firstLine="488" w:firstLineChars="200"/>
        <w:jc w:val="both"/>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qq咨询：3177524020          网    址：http://www.zqgpchina.cn</w:t>
      </w:r>
    </w:p>
    <w:sectPr>
      <w:pgSz w:w="11906" w:h="16838"/>
      <w:pgMar w:top="1440"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iMWU4NjE2ZThjZWFmNTIyNjY1N2Y2MGM4NGU0YzgifQ=="/>
  </w:docVars>
  <w:rsids>
    <w:rsidRoot w:val="15075E36"/>
    <w:rsid w:val="0003490D"/>
    <w:rsid w:val="000E3B96"/>
    <w:rsid w:val="000F464C"/>
    <w:rsid w:val="00164BAD"/>
    <w:rsid w:val="001A62F6"/>
    <w:rsid w:val="002369E5"/>
    <w:rsid w:val="002A0C7F"/>
    <w:rsid w:val="003466A2"/>
    <w:rsid w:val="00382449"/>
    <w:rsid w:val="003D31D0"/>
    <w:rsid w:val="003D544B"/>
    <w:rsid w:val="004008EA"/>
    <w:rsid w:val="00452E60"/>
    <w:rsid w:val="004C1513"/>
    <w:rsid w:val="004C22D5"/>
    <w:rsid w:val="00502BBB"/>
    <w:rsid w:val="00556B89"/>
    <w:rsid w:val="00577D53"/>
    <w:rsid w:val="00582154"/>
    <w:rsid w:val="00597346"/>
    <w:rsid w:val="006123D5"/>
    <w:rsid w:val="00621754"/>
    <w:rsid w:val="00653FBF"/>
    <w:rsid w:val="00662AB1"/>
    <w:rsid w:val="00673287"/>
    <w:rsid w:val="006E6366"/>
    <w:rsid w:val="007422CD"/>
    <w:rsid w:val="007565EE"/>
    <w:rsid w:val="0075762C"/>
    <w:rsid w:val="007A3197"/>
    <w:rsid w:val="00847664"/>
    <w:rsid w:val="00880CC4"/>
    <w:rsid w:val="00985298"/>
    <w:rsid w:val="009B4F35"/>
    <w:rsid w:val="009B65E7"/>
    <w:rsid w:val="009F542B"/>
    <w:rsid w:val="00A108C5"/>
    <w:rsid w:val="00A122F3"/>
    <w:rsid w:val="00A45A86"/>
    <w:rsid w:val="00A9248B"/>
    <w:rsid w:val="00AD1216"/>
    <w:rsid w:val="00B53DDC"/>
    <w:rsid w:val="00B615C9"/>
    <w:rsid w:val="00B97382"/>
    <w:rsid w:val="00C50B76"/>
    <w:rsid w:val="00C63E8A"/>
    <w:rsid w:val="00C74478"/>
    <w:rsid w:val="00CA155F"/>
    <w:rsid w:val="00CA67F4"/>
    <w:rsid w:val="00CA6FB9"/>
    <w:rsid w:val="00CA719F"/>
    <w:rsid w:val="00CE10FB"/>
    <w:rsid w:val="00CE5D1C"/>
    <w:rsid w:val="00CE6CEC"/>
    <w:rsid w:val="00D036BE"/>
    <w:rsid w:val="00D10030"/>
    <w:rsid w:val="00D12ED5"/>
    <w:rsid w:val="00D76FF0"/>
    <w:rsid w:val="00D87BD3"/>
    <w:rsid w:val="00DF568A"/>
    <w:rsid w:val="00E503CF"/>
    <w:rsid w:val="00E7631B"/>
    <w:rsid w:val="00F27530"/>
    <w:rsid w:val="00FA743A"/>
    <w:rsid w:val="00FE28E3"/>
    <w:rsid w:val="08FB2D9C"/>
    <w:rsid w:val="0BA17FC0"/>
    <w:rsid w:val="15075E36"/>
    <w:rsid w:val="1A7C7DE9"/>
    <w:rsid w:val="1C493A59"/>
    <w:rsid w:val="31786BF2"/>
    <w:rsid w:val="3E696013"/>
    <w:rsid w:val="464A0375"/>
    <w:rsid w:val="7DF93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paragraph" w:styleId="2">
    <w:name w:val="heading 1"/>
    <w:basedOn w:val="1"/>
    <w:next w:val="1"/>
    <w:link w:val="11"/>
    <w:qFormat/>
    <w:uiPriority w:val="9"/>
    <w:pPr>
      <w:keepNext/>
      <w:keepLines/>
      <w:spacing w:before="340" w:after="330" w:line="578" w:lineRule="auto"/>
      <w:jc w:val="both"/>
      <w:outlineLvl w:val="0"/>
    </w:pPr>
    <w:rPr>
      <w:rFonts w:eastAsia="宋体" w:asciiTheme="minorHAnsi" w:hAnsiTheme="minorHAnsi" w:cstheme="minorBidi"/>
      <w:b/>
      <w:bCs/>
      <w:kern w:val="44"/>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rPr>
      <w:rFonts w:ascii="宋体" w:hAnsi="宋体" w:eastAsia="宋体" w:cs="宋体"/>
      <w:sz w:val="24"/>
      <w:szCs w:val="24"/>
    </w:rPr>
  </w:style>
  <w:style w:type="character" w:styleId="8">
    <w:name w:val="Strong"/>
    <w:basedOn w:val="7"/>
    <w:qFormat/>
    <w:uiPriority w:val="0"/>
    <w:rPr>
      <w:rFonts w:cs="Times New Roman"/>
      <w:b/>
    </w:rPr>
  </w:style>
  <w:style w:type="character" w:customStyle="1" w:styleId="9">
    <w:name w:val="页眉 字符"/>
    <w:basedOn w:val="7"/>
    <w:link w:val="4"/>
    <w:qFormat/>
    <w:uiPriority w:val="0"/>
    <w:rPr>
      <w:rFonts w:eastAsiaTheme="minorEastAsia"/>
      <w:sz w:val="18"/>
      <w:szCs w:val="18"/>
    </w:rPr>
  </w:style>
  <w:style w:type="character" w:customStyle="1" w:styleId="10">
    <w:name w:val="页脚 字符"/>
    <w:basedOn w:val="7"/>
    <w:link w:val="3"/>
    <w:qFormat/>
    <w:uiPriority w:val="0"/>
    <w:rPr>
      <w:rFonts w:eastAsiaTheme="minorEastAsia"/>
      <w:sz w:val="18"/>
      <w:szCs w:val="18"/>
    </w:rPr>
  </w:style>
  <w:style w:type="character" w:customStyle="1" w:styleId="11">
    <w:name w:val="标题 1 字符"/>
    <w:basedOn w:val="7"/>
    <w:link w:val="2"/>
    <w:qFormat/>
    <w:uiPriority w:val="9"/>
    <w:rPr>
      <w:rFonts w:asciiTheme="minorHAnsi" w:hAnsiTheme="minorHAnsi" w:cstheme="minorBidi"/>
      <w:b/>
      <w:bCs/>
      <w:kern w:val="44"/>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3215</Words>
  <Characters>3501</Characters>
  <Lines>28</Lines>
  <Paragraphs>7</Paragraphs>
  <TotalTime>1</TotalTime>
  <ScaleCrop>false</ScaleCrop>
  <LinksUpToDate>false</LinksUpToDate>
  <CharactersWithSpaces>3633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2025-12-17T07:20:00Z</dcterms:created>
  <dc:creator>KJ</dc:creator>
  <cp:lastModifiedBy>聂红军</cp:lastModifiedBy>
  <dcterms:modified xsi:type="dcterms:W3CDTF">2026-01-23T00:51:13Z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221F751995B1432EB40F7C702607869B_13</vt:lpwstr>
  </property>
  <property fmtid="{D5CDD505-2E9C-101B-9397-08002B2CF9AE}" pid="4" name="KSOTemplateDocerSaveRecord">
    <vt:lpwstr>eyJoZGlkIjoiZTUyMWM5NTU3NmQwMzYzZGY2NjUyMjZkNDUzMDVhNDkiLCJ1c2VySWQiOiI0OTM4MTE0ODQifQ==</vt:lpwstr>
  </property>
</Properties>
</file>