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B8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1200" w:lineRule="exact"/>
        <w:jc w:val="center"/>
        <w:textAlignment w:val="auto"/>
        <w:rPr>
          <w:rFonts w:hint="default" w:ascii="宋体" w:hAnsi="宋体"/>
          <w:b/>
          <w:bCs/>
          <w:color w:val="FF0000"/>
          <w:w w:val="70"/>
          <w:kern w:val="0"/>
          <w:sz w:val="100"/>
          <w:szCs w:val="10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w w:val="70"/>
          <w:kern w:val="0"/>
          <w:sz w:val="100"/>
          <w:szCs w:val="100"/>
          <w:lang w:val="en-US" w:eastAsia="zh-CN"/>
        </w:rPr>
        <w:t>北京中建科信管理咨询集团</w:t>
      </w:r>
    </w:p>
    <w:p w14:paraId="636DE5C4">
      <w:pPr>
        <w:pStyle w:val="8"/>
        <w:spacing w:line="38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122555</wp:posOffset>
                </wp:positionV>
                <wp:extent cx="5619750" cy="19050"/>
                <wp:effectExtent l="0" t="19050" r="0" b="1905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0" cy="190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.9pt;margin-top:9.65pt;height:1.5pt;width:442.5pt;z-index:251659264;mso-width-relative:page;mso-height-relative:page;" filled="f" stroked="t" coordsize="21600,21600" o:gfxdata="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9g0Nc1QAAAAcBAAAPAAAAAAAAAAEAIAAAACIAAABkcnMvZG93bnJl&#10;di54bWxQSwECFAAUAAAACACHTuJAn/f4sQACAADRAwAADgAAAAAAAAABACAAAAAkAQAAZHJzL2Uy&#10;b0RvYy54bWxQSwUGAAAAAAYABgBZAQAAlgUAAAAA&#10;">
                <v:fill on="f" focussize="0,0"/>
                <v:stroke weight="3pt" color="#FF0000" joinstyle="round"/>
                <v:imagedata o:title=""/>
                <o:lock v:ext="edit" aspectratio="f"/>
              </v:shape>
            </w:pict>
          </mc:Fallback>
        </mc:AlternateContent>
      </w:r>
    </w:p>
    <w:p w14:paraId="5D0348F3">
      <w:pPr>
        <w:spacing w:line="580" w:lineRule="exact"/>
        <w:ind w:left="103" w:leftChars="49"/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关于举办“‘十五五’开局之年畅通多元融资渠道</w:t>
      </w:r>
    </w:p>
    <w:p w14:paraId="5D375D2A">
      <w:pPr>
        <w:spacing w:line="580" w:lineRule="exact"/>
        <w:ind w:left="103" w:leftChars="49"/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暨202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年项目谋划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与储备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、‘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六张网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’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建设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、城市更新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及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国企市场化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发展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实操高级研修班”的通知</w:t>
      </w:r>
    </w:p>
    <w:p w14:paraId="03C19D18">
      <w:pPr>
        <w:spacing w:line="520" w:lineRule="exact"/>
        <w:jc w:val="left"/>
        <w:rPr>
          <w:rFonts w:ascii="仿宋" w:hAnsi="仿宋" w:eastAsia="仿宋" w:cs="仿宋"/>
          <w:b/>
          <w:bCs/>
          <w:sz w:val="28"/>
          <w:szCs w:val="28"/>
        </w:rPr>
      </w:pPr>
    </w:p>
    <w:p w14:paraId="311ECE88">
      <w:pPr>
        <w:spacing w:line="536" w:lineRule="exact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各有关单位：</w:t>
      </w:r>
    </w:p>
    <w:p w14:paraId="46EA2E32">
      <w:pPr>
        <w:spacing w:line="536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今</w:t>
      </w:r>
      <w:r>
        <w:rPr>
          <w:rFonts w:hint="eastAsia" w:ascii="仿宋" w:hAnsi="仿宋" w:eastAsia="仿宋"/>
          <w:sz w:val="28"/>
          <w:szCs w:val="28"/>
        </w:rPr>
        <w:t>年作为我国“十五五”规划开局之年，国家提出“六张网”建设新方向，并出台城市更新“十五五”规划，基础设施领域新的机遇不断涌现。当前，正是各地政府和国企加快储备和谋划2027年重点建设项目、抢抓新一轮发展的窗口期。但是，全国多地普遍面临共性难题：土地出让收入持续收缩、税收增长乏力、各类财政性收入锐减，基建投入、民生保障、区域发展全面受制于资金短缺；与此同时，隐性债务监管全面加强，违规举债、变相融资的路径彻底封死，传统“土地财政+平台举债”的发展筹资模式已难以为继。</w:t>
      </w:r>
    </w:p>
    <w:p w14:paraId="1A09E0BA">
      <w:pPr>
        <w:spacing w:line="536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在此严峻形势下，党中央、国务院密集部署，形成“更加积极的财政政策+适度宽松的货币政策”协同组合拳：2026年赤字率按4%左右安排，一般公共预算支出规模首次突破30万亿元；发行超长期特别国债1.3万亿元，安排地方政府专项债券4.4万亿元，安排中央预算内投资7550亿元，新型政策性金融工具扩容至8000亿元，多元资金渠道全面打开。与此同时，12万亿一揽子化债政策于2026年收官，化债重心由隐性债务转向融资平台经营性债务；新增建设用地与存量盘活挂钩机制全面建立，城市发展正式迈入“存量时代”。</w:t>
      </w:r>
    </w:p>
    <w:p w14:paraId="29B0FECF">
      <w:pPr>
        <w:spacing w:line="536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综上，北京中建科信管理咨询集团有限公司举办“‘十五五’开局之年畅通多元融资渠道暨2027年项目谋划与储备、‘六张网’建设、城市更新及国企市场化发展实操高级研修班”，研修班按照“政策研判→项目谋划→资金申报→存量处置→落地实施”的全流程脉络设计课程</w:t>
      </w:r>
      <w:r>
        <w:rPr>
          <w:rFonts w:hint="eastAsia" w:ascii="仿宋" w:hAnsi="仿宋" w:eastAsia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助力地方政府及国有企业</w:t>
      </w:r>
      <w:r>
        <w:rPr>
          <w:rFonts w:hint="eastAsia" w:ascii="仿宋" w:hAnsi="仿宋" w:eastAsia="仿宋"/>
          <w:sz w:val="28"/>
          <w:szCs w:val="28"/>
        </w:rPr>
        <w:t>把握投资方向与合规边界</w:t>
      </w:r>
      <w:r>
        <w:rPr>
          <w:rFonts w:hint="eastAsia" w:ascii="仿宋" w:hAnsi="仿宋" w:eastAsia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/>
          <w:sz w:val="28"/>
          <w:szCs w:val="28"/>
        </w:rPr>
        <w:t>掌握项目谋划包装与资金拼盘组合的方法，打通专项债、超长期特别国债、中央预算内投资、新型政策性金融工具、银行信贷、PPP特许经营、存量盘活等多元资金渠道。具体通知如下：</w:t>
      </w:r>
    </w:p>
    <w:p w14:paraId="0843917B">
      <w:pPr>
        <w:spacing w:line="536" w:lineRule="exact"/>
        <w:ind w:left="420" w:leftChars="20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一、培训内容</w:t>
      </w:r>
    </w:p>
    <w:p w14:paraId="35149FF4">
      <w:pPr>
        <w:spacing w:line="536" w:lineRule="exact"/>
        <w:ind w:left="420" w:left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（一）“十五五”开局之年的政策总基调与投融资新格局</w:t>
      </w:r>
    </w:p>
    <w:p w14:paraId="2F30E55B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1.“十五五”规划纲要要点解读：投资体制改革、109项重大工程与基</w:t>
      </w:r>
    </w:p>
    <w:p w14:paraId="4C1BB466">
      <w:pPr>
        <w:spacing w:line="536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础设施投融资部署；</w:t>
      </w:r>
    </w:p>
    <w:p w14:paraId="427858E7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2.2026年更加积极的财政政策与适度宽松的货币政策深度解读；</w:t>
      </w:r>
    </w:p>
    <w:p w14:paraId="24179BD8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3.12万亿一揽子化债政策收官：2026年2万亿元置换债券发行收官与</w:t>
      </w:r>
    </w:p>
    <w:p w14:paraId="62E08D97">
      <w:pPr>
        <w:spacing w:line="536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8000亿元化债专项债安排，隐性债务余额压降进展及对项目融资空间影响；</w:t>
      </w:r>
    </w:p>
    <w:p w14:paraId="70748597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4.融资平台经营性债务风险化解的政策脉络（35号文、150号文、99号</w:t>
      </w:r>
    </w:p>
    <w:p w14:paraId="42F0DA61">
      <w:pPr>
        <w:spacing w:line="536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文等文件）与2026年最新要求；</w:t>
      </w:r>
    </w:p>
    <w:p w14:paraId="2ECEB1DD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5.二十届三中、四中全会投融资体制改革要点及财税体制改革“四个聚</w:t>
      </w:r>
    </w:p>
    <w:p w14:paraId="1CA4B3CA">
      <w:pPr>
        <w:spacing w:line="536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焦”部署；</w:t>
      </w:r>
    </w:p>
    <w:p w14:paraId="7F301948">
      <w:pPr>
        <w:numPr>
          <w:ilvl w:val="0"/>
          <w:numId w:val="1"/>
        </w:num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审计署2026年审计工作报告揭示的融资平台虚假退出、专项债资金</w:t>
      </w:r>
    </w:p>
    <w:p w14:paraId="1940EA25">
      <w:pPr>
        <w:numPr>
          <w:ilvl w:val="0"/>
          <w:numId w:val="0"/>
        </w:numPr>
        <w:spacing w:line="536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闲置挪用、违规举债手法变异等典型问题与合规警示。</w:t>
      </w:r>
    </w:p>
    <w:p w14:paraId="2AF9CE74">
      <w:pPr>
        <w:spacing w:line="536" w:lineRule="exact"/>
        <w:ind w:left="420" w:left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（二）项目谋划、包装与资金拼盘组合</w:t>
      </w:r>
    </w:p>
    <w:p w14:paraId="76B45603">
      <w:pPr>
        <w:spacing w:line="536" w:lineRule="exact"/>
        <w:ind w:left="420" w:left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1.项目谋划方法论：对标国家重大战略、政策导向与资金投向对标谋划；</w:t>
      </w:r>
    </w:p>
    <w:p w14:paraId="046DBEF9">
      <w:pPr>
        <w:spacing w:line="536" w:lineRule="exact"/>
        <w:ind w:left="420" w:left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2.项目包装核心要素：可行性研究、现金流设计、收益平衡方案编制；</w:t>
      </w:r>
    </w:p>
    <w:p w14:paraId="373E2BB4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3.多资金渠道拼盘组合设计：“专项债+中央预算内投资+政策性金融工</w:t>
      </w:r>
    </w:p>
    <w:p w14:paraId="6815E4ED">
      <w:pPr>
        <w:spacing w:line="536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具+银行贷款”等组合运用；</w:t>
      </w:r>
    </w:p>
    <w:p w14:paraId="07574C05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4.项目库管理与入库准备：国家重大建设项目库、地方政府专项债券穿</w:t>
      </w:r>
    </w:p>
    <w:p w14:paraId="591821B0">
      <w:pPr>
        <w:spacing w:line="536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透式监测系统“两库”入库要点；</w:t>
      </w:r>
    </w:p>
    <w:p w14:paraId="4AA21AAE">
      <w:pPr>
        <w:spacing w:line="536" w:lineRule="exact"/>
        <w:ind w:left="420" w:left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5.申报前期准备：立项审批、要素保障、手续合规与项目成熟度提升。</w:t>
      </w:r>
    </w:p>
    <w:p w14:paraId="668F83F8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（三）“六张网”的内涵与实施要点</w:t>
      </w:r>
    </w:p>
    <w:p w14:paraId="6F6E5363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1.“六张网”的概念内涵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</w:rPr>
        <w:t>战略定位与顶层设计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；</w:t>
      </w:r>
    </w:p>
    <w:p w14:paraId="7DEB4663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.“六张网”的总体投资规模与资金渠道分析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；</w:t>
      </w:r>
    </w:p>
    <w:p w14:paraId="3A938170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.“六张网”之间的协同关系与“新三网”（算力网、新型电网、新一</w:t>
      </w:r>
    </w:p>
    <w:p w14:paraId="1E695167">
      <w:pPr>
        <w:spacing w:line="536" w:lineRule="exac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代通信网）强耦合特征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；</w:t>
      </w:r>
    </w:p>
    <w:p w14:paraId="1EE5D095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.“2+3+N”协同机制解析与地方政府对接路径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；</w:t>
      </w:r>
    </w:p>
    <w:p w14:paraId="055A831F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.“六张网”建设中社会资本引入与PPP模式应用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</w:p>
    <w:p w14:paraId="4834CD24">
      <w:pPr>
        <w:spacing w:line="536" w:lineRule="exact"/>
        <w:ind w:left="420" w:left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/>
          <w:sz w:val="28"/>
          <w:szCs w:val="28"/>
          <w:lang w:eastAsia="zh-CN"/>
        </w:rPr>
        <w:t>）“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三大资金</w:t>
      </w:r>
      <w:r>
        <w:rPr>
          <w:rFonts w:hint="eastAsia" w:ascii="仿宋" w:hAnsi="仿宋" w:eastAsia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申报实务</w:t>
      </w:r>
    </w:p>
    <w:p w14:paraId="5B6DC8EE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/>
          <w:sz w:val="28"/>
          <w:szCs w:val="28"/>
        </w:rPr>
        <w:t>地方政府专项债券政策解读、申报流程与实操要点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；</w:t>
      </w:r>
    </w:p>
    <w:p w14:paraId="1341A717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.2026年投向领域调整：数字经济、低空经济、量子科技等新方向与用</w:t>
      </w:r>
    </w:p>
    <w:p w14:paraId="43E8759E">
      <w:pPr>
        <w:spacing w:line="536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作项目资本金范围的扩大；</w:t>
      </w:r>
    </w:p>
    <w:p w14:paraId="1C22EEEC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/>
          <w:sz w:val="28"/>
          <w:szCs w:val="28"/>
        </w:rPr>
        <w:t>专项债收回收购存量闲置土地、收购存量商品房用作保障性住房的操</w:t>
      </w:r>
    </w:p>
    <w:p w14:paraId="3F3234AC">
      <w:pPr>
        <w:spacing w:line="536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作要点；</w:t>
      </w:r>
    </w:p>
    <w:p w14:paraId="6D3A454E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/>
          <w:sz w:val="28"/>
          <w:szCs w:val="28"/>
        </w:rPr>
        <w:t>超长期特别国债政策解读、申报流程与实操要点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；</w:t>
      </w:r>
    </w:p>
    <w:p w14:paraId="1FA68B31">
      <w:pPr>
        <w:spacing w:line="536" w:lineRule="exact"/>
        <w:ind w:left="420" w:left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.“两重”建设支持范围、重点领域与对标储备谋划；</w:t>
      </w:r>
    </w:p>
    <w:p w14:paraId="7FF7ADD0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6.</w:t>
      </w:r>
      <w:r>
        <w:rPr>
          <w:rFonts w:hint="eastAsia" w:ascii="仿宋" w:hAnsi="仿宋" w:eastAsia="仿宋"/>
          <w:sz w:val="28"/>
          <w:szCs w:val="28"/>
        </w:rPr>
        <w:t>中央预算内投资政策解读、申报流程与实操要点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；</w:t>
      </w:r>
    </w:p>
    <w:p w14:paraId="41384111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</w:rPr>
        <w:t>.如何通过中央预算内投资撬动配套资金、破解项目融资困境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；</w:t>
      </w:r>
    </w:p>
    <w:p w14:paraId="0D3DBE09">
      <w:pPr>
        <w:spacing w:line="536" w:lineRule="exact"/>
        <w:ind w:left="420" w:left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/>
          <w:sz w:val="28"/>
          <w:szCs w:val="28"/>
        </w:rPr>
        <w:t>）新型政策性金融工具与银行融资</w:t>
      </w:r>
    </w:p>
    <w:p w14:paraId="214B33A6">
      <w:pPr>
        <w:spacing w:line="536" w:lineRule="exact"/>
        <w:ind w:left="420" w:left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1.资本金补充的申请条件、比例上限与投放流程；</w:t>
      </w:r>
    </w:p>
    <w:p w14:paraId="28290C26">
      <w:pPr>
        <w:spacing w:line="536" w:lineRule="exact"/>
        <w:ind w:left="420" w:left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.“专项债+国企资金+银行贷款”“新型政策性金融工具+国企资金+银行贷款”合规组合体系构建；</w:t>
      </w:r>
    </w:p>
    <w:p w14:paraId="6D71A735">
      <w:pPr>
        <w:spacing w:line="536" w:lineRule="exact"/>
        <w:ind w:left="420" w:left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.银行信贷产品匹配运用：项目贷款、并购贷款、城市更新贷款等。</w:t>
      </w:r>
    </w:p>
    <w:p w14:paraId="5E233EE3">
      <w:pPr>
        <w:spacing w:line="536" w:lineRule="exact"/>
        <w:ind w:left="420" w:left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六</w:t>
      </w:r>
      <w:r>
        <w:rPr>
          <w:rFonts w:hint="eastAsia" w:ascii="仿宋" w:hAnsi="仿宋" w:eastAsia="仿宋"/>
          <w:sz w:val="28"/>
          <w:szCs w:val="28"/>
        </w:rPr>
        <w:t>）PPP新机制与特许经营全流程操作</w:t>
      </w:r>
    </w:p>
    <w:p w14:paraId="465EA9BC">
      <w:pPr>
        <w:spacing w:line="536" w:lineRule="exact"/>
        <w:ind w:left="420" w:left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1.使用者付费项目谋划与收益平衡设计；</w:t>
      </w:r>
    </w:p>
    <w:p w14:paraId="771BCEC9">
      <w:pPr>
        <w:spacing w:line="536" w:lineRule="exact"/>
        <w:ind w:left="420" w:left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.央国企参与特许经营项目的路径与合规要点；</w:t>
      </w:r>
    </w:p>
    <w:p w14:paraId="7BE5E9D5">
      <w:pPr>
        <w:spacing w:line="536" w:lineRule="exact"/>
        <w:ind w:left="420" w:left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.通过特许经营模式盘活存量资产的要点；</w:t>
      </w:r>
    </w:p>
    <w:p w14:paraId="0CA79DC4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.国办函〔2025〕84号文与存量PPP项目处理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</w:p>
    <w:p w14:paraId="674F3AA9">
      <w:pPr>
        <w:spacing w:line="536" w:lineRule="exact"/>
        <w:ind w:left="420" w:left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七</w:t>
      </w:r>
      <w:r>
        <w:rPr>
          <w:rFonts w:hint="eastAsia" w:ascii="仿宋" w:hAnsi="仿宋" w:eastAsia="仿宋"/>
          <w:sz w:val="28"/>
          <w:szCs w:val="28"/>
        </w:rPr>
        <w:t>）存量资产盘活政策、方式与操作流程</w:t>
      </w:r>
    </w:p>
    <w:p w14:paraId="50C9B209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1.“十五五”规划对于盘活存量资源的政策解读；</w:t>
      </w:r>
    </w:p>
    <w:p w14:paraId="723AA8DB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2.通过TOT模式盘活存量资产的核心要点；</w:t>
      </w:r>
    </w:p>
    <w:p w14:paraId="35B44787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3.通过非PPP模式盘活政府公益性资产；</w:t>
      </w:r>
    </w:p>
    <w:p w14:paraId="504A7165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4.国家发改委第二批盘活存量资产案例分析；</w:t>
      </w:r>
    </w:p>
    <w:p w14:paraId="2F7CFBCF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5.国家发改委1013号文对采用PPP模式盘活存量资产的新政策要点；</w:t>
      </w:r>
    </w:p>
    <w:p w14:paraId="6FD608DD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6.盘活行政事业单位的存量资产及案例分析；</w:t>
      </w:r>
    </w:p>
    <w:p w14:paraId="702D1595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7.盘活市政公共资源与城市零星用地的要点与案例；</w:t>
      </w:r>
    </w:p>
    <w:p w14:paraId="72E30F06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8.盘活文旅、商业等商业资产的要点与案例；</w:t>
      </w:r>
    </w:p>
    <w:p w14:paraId="5CE5A011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9.盘活医院、酒店等资产的要点与案例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；</w:t>
      </w:r>
    </w:p>
    <w:p w14:paraId="2C880160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10.盘活存量土地的重点领域和案例分析；</w:t>
      </w:r>
    </w:p>
    <w:p w14:paraId="451B0FE3">
      <w:pPr>
        <w:spacing w:line="536" w:lineRule="exact"/>
        <w:ind w:left="420" w:left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11.低效用地再开发的政府征收、收储与供应；</w:t>
      </w:r>
    </w:p>
    <w:p w14:paraId="0F4BAE6D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/>
          <w:sz w:val="28"/>
          <w:szCs w:val="28"/>
        </w:rPr>
        <w:t>.湖北、安徽等地国有“三资三化”改革（分散变集中、资源变资产、</w:t>
      </w:r>
    </w:p>
    <w:p w14:paraId="1343F44F">
      <w:pPr>
        <w:spacing w:line="536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资产变资本）经验借鉴。</w:t>
      </w:r>
    </w:p>
    <w:p w14:paraId="591F4FED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八</w:t>
      </w:r>
      <w:r>
        <w:rPr>
          <w:rFonts w:hint="eastAsia" w:ascii="仿宋" w:hAnsi="仿宋" w:eastAsia="仿宋"/>
          <w:sz w:val="28"/>
          <w:szCs w:val="28"/>
        </w:rPr>
        <w:t>）城市更新项目谋划与投融资模式分析</w:t>
      </w:r>
    </w:p>
    <w:p w14:paraId="252AF901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 “十五五”规划下关于城市更新的最新政策解读；</w:t>
      </w:r>
    </w:p>
    <w:p w14:paraId="493971AA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2.城市更新的内涵分析及城市更新行动八项重点任务详解；</w:t>
      </w:r>
    </w:p>
    <w:p w14:paraId="065EB9FA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3.城市更新的专项规划与实施方案编制要点；</w:t>
      </w:r>
    </w:p>
    <w:p w14:paraId="393076F9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4.老旧小区改造及基础设施类项目的项目特点分析；</w:t>
      </w:r>
    </w:p>
    <w:p w14:paraId="7BE690F3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5.老旧街区、厂区改造的特点与投融资模式及案例分析；</w:t>
      </w:r>
    </w:p>
    <w:p w14:paraId="10F98AAB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6.城中村改造的项目运作模式及案例分析；</w:t>
      </w:r>
    </w:p>
    <w:p w14:paraId="4A8ED3AD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7.地方国有企业获得土地使用权的自主开发模式；</w:t>
      </w:r>
    </w:p>
    <w:p w14:paraId="0B8E8FB5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8.地方国有企业实现物业经营权归集的开发模式；</w:t>
      </w:r>
    </w:p>
    <w:p w14:paraId="4C949BC7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9.地方国有企业主导下的“投资人+EPC+O”模式；</w:t>
      </w:r>
    </w:p>
    <w:p w14:paraId="0F9F6A12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10.政府主导下的投资模式；</w:t>
      </w:r>
    </w:p>
    <w:p w14:paraId="7662A03D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11.住建部、财政部支持城市更新的中央资金申请。</w:t>
      </w:r>
    </w:p>
    <w:p w14:paraId="6AFFBDFD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九</w:t>
      </w:r>
      <w:r>
        <w:rPr>
          <w:rFonts w:hint="eastAsia" w:ascii="仿宋" w:hAnsi="仿宋" w:eastAsia="仿宋"/>
          <w:sz w:val="28"/>
          <w:szCs w:val="28"/>
        </w:rPr>
        <w:t>）消费新场景赋能城市更新</w:t>
      </w:r>
    </w:p>
    <w:p w14:paraId="26016735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1.消费新场景的概念内涵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</w:rPr>
        <w:t>战略定位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与</w:t>
      </w:r>
      <w:r>
        <w:rPr>
          <w:rFonts w:hint="eastAsia" w:ascii="仿宋" w:hAnsi="仿宋" w:eastAsia="仿宋"/>
          <w:sz w:val="28"/>
          <w:szCs w:val="28"/>
        </w:rPr>
        <w:t>核心政策解读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；</w:t>
      </w:r>
    </w:p>
    <w:p w14:paraId="62DA0259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.消费新场景与城市更新的政策衔接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；</w:t>
      </w:r>
    </w:p>
    <w:p w14:paraId="3970B33D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.消费新场景的重点领域与典型业态（银发、育幼、宠物、夜间、会展、</w:t>
      </w:r>
    </w:p>
    <w:p w14:paraId="1943F3C0">
      <w:pPr>
        <w:spacing w:line="536" w:lineRule="exac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首发、购物、餐饮、文旅体育、健康养生、赛事、体验等）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；</w:t>
      </w:r>
    </w:p>
    <w:p w14:paraId="0C9713FC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4.老旧商业街区改造与消费新场景融合模式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；</w:t>
      </w:r>
    </w:p>
    <w:p w14:paraId="75D139A1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5.老旧厂区改造与消费新场景融合模式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；</w:t>
      </w:r>
    </w:p>
    <w:p w14:paraId="47263966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6.存量商业资产升级与消费新场景融合模式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；</w:t>
      </w:r>
    </w:p>
    <w:p w14:paraId="75E9A813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7.盘活社区存量公共空间与消费新场景融合模式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；</w:t>
      </w:r>
    </w:p>
    <w:p w14:paraId="63C06C79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8.交通枢纽场所的提升改造与消费新场景融合模式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；</w:t>
      </w:r>
    </w:p>
    <w:p w14:paraId="23AF9756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9.城市零星用地盘活与消费新场景融合模式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；</w:t>
      </w:r>
    </w:p>
    <w:p w14:paraId="48796266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10.城市滨水存量空间盘活与消费新场景融合模式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；</w:t>
      </w:r>
    </w:p>
    <w:p w14:paraId="567035F9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11.城市公园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</w:rPr>
        <w:t>绿地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</w:rPr>
        <w:t>广场存量配套空间升级与消费新场景融合模式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</w:p>
    <w:p w14:paraId="1CE65402">
      <w:pPr>
        <w:spacing w:line="536" w:lineRule="exact"/>
        <w:ind w:left="420" w:leftChars="200"/>
        <w:rPr>
          <w:rFonts w:hint="default" w:ascii="仿宋" w:hAnsi="仿宋" w:eastAsia="仿宋"/>
          <w:sz w:val="28"/>
          <w:szCs w:val="28"/>
          <w:lang w:val="en-US"/>
        </w:rPr>
      </w:pPr>
      <w:r>
        <w:rPr>
          <w:rFonts w:hint="eastAsia" w:ascii="仿宋" w:hAnsi="仿宋" w:eastAsia="仿宋"/>
          <w:sz w:val="28"/>
          <w:szCs w:val="28"/>
        </w:rPr>
        <w:t>（十）150文背景下的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国企市场化发展</w:t>
      </w:r>
    </w:p>
    <w:p w14:paraId="12144DF1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1.150号文关于规范退出融资平台公司的标准与流程；</w:t>
      </w:r>
    </w:p>
    <w:p w14:paraId="16B5441C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2.投融资平台公司整合升级的现实要求和各地政策要点；</w:t>
      </w:r>
    </w:p>
    <w:p w14:paraId="37B69E3B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3.投融资平台公司转型的五个主要模式和路径分析；</w:t>
      </w:r>
    </w:p>
    <w:p w14:paraId="3CE4CF67">
      <w:p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4.投融资平台公司转型的六大重构工程：顶层设计重构、资源资产重</w:t>
      </w:r>
    </w:p>
    <w:p w14:paraId="27E8D4F6">
      <w:pPr>
        <w:spacing w:line="536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构、业务模式重构、投融资重构、公司治理重构、风控合规重构；</w:t>
      </w:r>
    </w:p>
    <w:p w14:paraId="4446F1E9">
      <w:pPr>
        <w:numPr>
          <w:ilvl w:val="0"/>
          <w:numId w:val="2"/>
        </w:numPr>
        <w:spacing w:line="536" w:lineRule="exact"/>
        <w:ind w:left="420" w:left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投融资平台公司转型发展和产业投资的案例分析。</w:t>
      </w:r>
    </w:p>
    <w:p w14:paraId="0B293614">
      <w:pPr>
        <w:spacing w:line="536" w:lineRule="exact"/>
        <w:ind w:firstLine="562" w:firstLineChars="200"/>
        <w:rPr>
          <w:rFonts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</w:t>
      </w:r>
      <w:r>
        <w:rPr>
          <w:rFonts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、培训对象</w:t>
      </w:r>
    </w:p>
    <w:p w14:paraId="414D7EEC">
      <w:pPr>
        <w:spacing w:line="536" w:lineRule="exact"/>
        <w:ind w:firstLine="560" w:firstLineChars="200"/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各级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政府发展改革</w:t>
      </w: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、财政、环保、住建、交通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运输</w:t>
      </w: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、水利、农业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农村</w:t>
      </w: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、林草、文旅等部门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有关</w:t>
      </w: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人员；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以</w:t>
      </w: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城投公司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为代表的地方国有企业有关人员；</w:t>
      </w: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污水垃圾处理、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城乡</w:t>
      </w: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供水供气供热、仓储物流、新能源、环保及建筑施工等企业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有关</w:t>
      </w: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人员；银行、证券、基金、信托、保险等金融机构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有关</w:t>
      </w: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人员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等</w:t>
      </w: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7F61F25F">
      <w:pPr>
        <w:spacing w:line="536" w:lineRule="exact"/>
        <w:ind w:firstLine="562" w:firstLineChars="200"/>
        <w:rPr>
          <w:rFonts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</w:t>
      </w:r>
      <w:r>
        <w:rPr>
          <w:rFonts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拟邀师资</w:t>
      </w:r>
    </w:p>
    <w:p w14:paraId="0659C462">
      <w:pPr>
        <w:spacing w:line="536" w:lineRule="exact"/>
        <w:ind w:firstLine="562" w:firstLineChars="200"/>
        <w:rPr>
          <w:rFonts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林晓东：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中国经济体制改革研究会理事、特聘授课专家，中国投资协会项目投融资专委会特聘专家，泰和泰（北京）律师事务所合伙人。</w:t>
      </w:r>
    </w:p>
    <w:p w14:paraId="33B61F99">
      <w:pPr>
        <w:widowControl/>
        <w:spacing w:line="536" w:lineRule="exact"/>
        <w:ind w:firstLine="562" w:firstLineChars="200"/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王小文：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住建部海绵城市试点考核专家，财政部PPP示范项目评审专家，中国投资咨询有限责任公司研究中心主任。</w:t>
      </w:r>
    </w:p>
    <w:p w14:paraId="1A14E8DC">
      <w:pPr>
        <w:pStyle w:val="9"/>
        <w:autoSpaceDE/>
        <w:autoSpaceDN/>
        <w:spacing w:line="536" w:lineRule="exact"/>
        <w:ind w:left="0" w:firstLine="562"/>
        <w:rPr>
          <w:rFonts w:hint="default" w:hAnsi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Ansi="仿宋" w:cs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温来成：</w:t>
      </w:r>
      <w:r>
        <w:fldChar w:fldCharType="begin"/>
      </w:r>
      <w:r>
        <w:instrText xml:space="preserve"> HYPERLINK "https://baike.so.com/doc/3296910-3472858.html" \t "https://baike.so.com/doc/_blank" </w:instrText>
      </w:r>
      <w:r>
        <w:fldChar w:fldCharType="separate"/>
      </w:r>
      <w:r>
        <w:rPr>
          <w:rFonts w:hint="default" w:hAnsi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中国人民大学</w:t>
      </w:r>
      <w:r>
        <w:rPr>
          <w:rFonts w:hint="default" w:hAnsi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hAnsi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经济学博士，</w:t>
      </w:r>
      <w:r>
        <w:fldChar w:fldCharType="begin"/>
      </w:r>
      <w:r>
        <w:instrText xml:space="preserve"> HYPERLINK "https://baike.so.com/doc/871579-921482.html" \t "https://baike.so.com/doc/_blank" </w:instrText>
      </w:r>
      <w:r>
        <w:fldChar w:fldCharType="separate"/>
      </w:r>
      <w:r>
        <w:rPr>
          <w:rFonts w:hint="default" w:hAnsi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中央财经大学</w:t>
      </w:r>
      <w:r>
        <w:rPr>
          <w:rFonts w:hint="default" w:hAnsi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hAnsi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教授，博士生导师，</w:t>
      </w:r>
      <w:r>
        <w:fldChar w:fldCharType="begin"/>
      </w:r>
      <w:r>
        <w:instrText xml:space="preserve"> HYPERLINK "https://baike.so.com/doc/5383824-5620225.html" \t "https://baike.so.com/doc/_blank" </w:instrText>
      </w:r>
      <w:r>
        <w:fldChar w:fldCharType="separate"/>
      </w:r>
      <w:r>
        <w:rPr>
          <w:rFonts w:hint="default" w:hAnsi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国家社会科学基金</w:t>
      </w:r>
      <w:r>
        <w:rPr>
          <w:rFonts w:hint="default" w:hAnsi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hAnsi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评审专家，</w:t>
      </w:r>
      <w:r>
        <w:fldChar w:fldCharType="begin"/>
      </w:r>
      <w:r>
        <w:instrText xml:space="preserve"> HYPERLINK "https://baike.so.com/doc/5568745-5783922.html" \t "https://baike.so.com/doc/_blank" </w:instrText>
      </w:r>
      <w:r>
        <w:fldChar w:fldCharType="separate"/>
      </w:r>
      <w:r>
        <w:rPr>
          <w:rFonts w:hint="default" w:hAnsi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国家自然科学基金</w:t>
      </w:r>
      <w:r>
        <w:rPr>
          <w:rFonts w:hint="default" w:hAnsi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hAnsi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评审专家</w:t>
      </w:r>
      <w:r>
        <w:rPr>
          <w:rFonts w:hAnsi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50D13D66">
      <w:pPr>
        <w:spacing w:line="536" w:lineRule="exact"/>
        <w:ind w:firstLine="562" w:firstLineChars="200"/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张  鹏：</w:t>
      </w: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财政部政策实验室宏观经济部主任、经济学博士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中共中央党校干部学习网特约专家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20368904">
      <w:pPr>
        <w:spacing w:line="536" w:lineRule="exact"/>
        <w:ind w:firstLine="562" w:firstLineChars="200"/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朱  静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：中央财经大学PPP智库专家，中国政信（政务）研究中心专家，中能国和产业投资发展集团合伙人首席专家。</w:t>
      </w:r>
    </w:p>
    <w:p w14:paraId="039A0699">
      <w:pPr>
        <w:spacing w:line="536" w:lineRule="exact"/>
        <w:ind w:firstLine="562" w:firstLineChars="200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四、</w:t>
      </w:r>
      <w:r>
        <w:rPr>
          <w:rFonts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培训时间与地点</w:t>
      </w:r>
    </w:p>
    <w:p w14:paraId="43510D8F">
      <w:pPr>
        <w:spacing w:line="536" w:lineRule="exact"/>
        <w:ind w:firstLine="560" w:firstLineChars="200"/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2026年10月15日—10月18日   南京市 （15日全天报到）</w:t>
      </w:r>
    </w:p>
    <w:p w14:paraId="66B2E447">
      <w:pPr>
        <w:spacing w:line="536" w:lineRule="exact"/>
        <w:ind w:firstLine="560" w:firstLineChars="200"/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2026年10月22日—10月25日   西安市 （22日全天报到）</w:t>
      </w:r>
    </w:p>
    <w:p w14:paraId="65EA6E22">
      <w:pPr>
        <w:spacing w:line="536" w:lineRule="exact"/>
        <w:ind w:firstLine="560" w:firstLineChars="200"/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2026年11月05日—11月08日   武汉市 （05日全天报到）</w:t>
      </w:r>
    </w:p>
    <w:p w14:paraId="0F4F37FE">
      <w:pPr>
        <w:spacing w:line="536" w:lineRule="exact"/>
        <w:ind w:firstLine="560" w:firstLineChars="200"/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2026年11月19日—11月22日   成都市 （19日全天报到）</w:t>
      </w:r>
    </w:p>
    <w:p w14:paraId="2EB3E68C">
      <w:pPr>
        <w:spacing w:line="536" w:lineRule="exact"/>
        <w:ind w:firstLine="560" w:firstLineChars="200"/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2026年12月03日—12月06日   厦门市 （03日全天报到）</w:t>
      </w:r>
    </w:p>
    <w:p w14:paraId="2B649544">
      <w:pPr>
        <w:spacing w:line="536" w:lineRule="exact"/>
        <w:ind w:firstLine="560" w:firstLineChars="200"/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2026年12月17日—12月20日   长沙市 （17日全天报到）</w:t>
      </w:r>
    </w:p>
    <w:p w14:paraId="44D0397E">
      <w:pPr>
        <w:spacing w:line="536" w:lineRule="exact"/>
        <w:ind w:firstLine="560" w:firstLineChars="200"/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2027年01月07日—01月10日   昆明市 （07日全天报到）</w:t>
      </w:r>
    </w:p>
    <w:p w14:paraId="5045AE19">
      <w:pPr>
        <w:spacing w:line="536" w:lineRule="exact"/>
        <w:ind w:firstLine="560" w:firstLineChars="200"/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2027年01月21日—01月24日   海口市 （21日全天报到）</w:t>
      </w:r>
    </w:p>
    <w:p w14:paraId="2F2CBC41">
      <w:pPr>
        <w:spacing w:line="536" w:lineRule="exact"/>
        <w:ind w:firstLine="562" w:firstLineChars="200"/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五</w:t>
      </w:r>
      <w:r>
        <w:rPr>
          <w:rFonts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、收费标准</w:t>
      </w:r>
    </w:p>
    <w:p w14:paraId="1264F6EF">
      <w:pPr>
        <w:spacing w:line="536" w:lineRule="exact"/>
        <w:ind w:firstLine="560" w:firstLineChars="200"/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A.3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98</w:t>
      </w: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0元/人（含培训、资料、电子课件、场地及培训期间午餐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、结业证书等</w:t>
      </w: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），住宿统一安排，费用自理。</w:t>
      </w:r>
    </w:p>
    <w:p w14:paraId="63702FAD">
      <w:pPr>
        <w:spacing w:line="536" w:lineRule="exact"/>
        <w:ind w:firstLine="560" w:firstLineChars="200"/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B.5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98</w:t>
      </w: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0元/人（含培训、资料、电子课件、场地、证书及培训期间午餐），住宿统一安排，费用自理。培训结束后，经考核合格，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由中小企业合作发展促进中心颁发《投融资规划师》证书，报名需提供申报表、二寸蓝底免冠彩色照片、身份证复印件、学历证书复印件等电子版材料。</w:t>
      </w:r>
    </w:p>
    <w:p w14:paraId="0297F287">
      <w:pPr>
        <w:snapToGrid w:val="0"/>
        <w:spacing w:line="536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C.28000元/单位，同步直播，单位投屏播放，统一观看，不限人数，提供电子课件，支持在线提问。</w:t>
      </w:r>
    </w:p>
    <w:p w14:paraId="71717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D.40000元/天，根据实际需求，个性化定制课程内容，委派专家赴政府、国有企业进行内部培训（含课酬、专家与助教交通费、资料费等，培训场地由受训单位提供）</w:t>
      </w:r>
      <w:r>
        <w:rPr>
          <w:rFonts w:hint="eastAsia" w:ascii="仿宋" w:hAnsi="仿宋" w:eastAsia="仿宋" w:cs="仿宋"/>
          <w:kern w:val="0"/>
          <w:sz w:val="28"/>
          <w:szCs w:val="28"/>
        </w:rPr>
        <w:t>。</w:t>
      </w:r>
    </w:p>
    <w:p w14:paraId="39963DF4">
      <w:pPr>
        <w:numPr>
          <w:ilvl w:val="0"/>
          <w:numId w:val="3"/>
        </w:numPr>
        <w:snapToGrid w:val="0"/>
        <w:spacing w:line="536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联系方式</w:t>
      </w:r>
      <w:bookmarkStart w:id="0" w:name="_GoBack"/>
      <w:bookmarkEnd w:id="0"/>
    </w:p>
    <w:p w14:paraId="5D0A548D">
      <w:pPr>
        <w:numPr>
          <w:numId w:val="0"/>
        </w:numPr>
        <w:snapToGrid w:val="0"/>
        <w:spacing w:line="536" w:lineRule="exac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报名负责人：聂红军 主任18211071700（微信）   </w:t>
      </w:r>
    </w:p>
    <w:p w14:paraId="549EF864">
      <w:pPr>
        <w:numPr>
          <w:numId w:val="0"/>
        </w:numPr>
        <w:snapToGrid w:val="0"/>
        <w:spacing w:line="536" w:lineRule="exact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电    话：13141289128        邮    箱：470882753@qq.com  </w:t>
      </w:r>
    </w:p>
    <w:p w14:paraId="71D2F3A9">
      <w:pPr>
        <w:numPr>
          <w:numId w:val="0"/>
        </w:numPr>
        <w:snapToGrid w:val="0"/>
        <w:spacing w:line="536" w:lineRule="exact"/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qq咨询：470882753            网    址：www.zqgpchina.cn</w:t>
      </w:r>
    </w:p>
    <w:p w14:paraId="0A5122A1">
      <w:pPr>
        <w:snapToGrid w:val="0"/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</w:p>
    <w:p w14:paraId="76582BA3">
      <w:pPr>
        <w:spacing w:line="500" w:lineRule="exact"/>
        <w:ind w:firstLine="840" w:firstLineChars="300"/>
        <w:rPr>
          <w:rFonts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附件：报名回执表</w:t>
      </w:r>
    </w:p>
    <w:p w14:paraId="65CA60DF">
      <w:pPr>
        <w:spacing w:line="500" w:lineRule="exact"/>
        <w:rPr>
          <w:rFonts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2912745</wp:posOffset>
            </wp:positionH>
            <wp:positionV relativeFrom="paragraph">
              <wp:posOffset>248285</wp:posOffset>
            </wp:positionV>
            <wp:extent cx="2190750" cy="2187575"/>
            <wp:effectExtent l="0" t="0" r="0" b="3175"/>
            <wp:wrapNone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187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F21299">
      <w:pPr>
        <w:spacing w:line="500" w:lineRule="exact"/>
        <w:rPr>
          <w:rFonts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AB77EEE">
      <w:pPr>
        <w:spacing w:line="500" w:lineRule="exact"/>
        <w:rPr>
          <w:rFonts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F58EAD1">
      <w:pPr>
        <w:ind w:firstLine="504" w:firstLineChars="200"/>
        <w:rPr>
          <w:rFonts w:ascii="仿宋" w:hAnsi="仿宋" w:eastAsia="仿宋" w:cs="仿宋"/>
          <w:b/>
          <w:bCs/>
          <w:color w:val="000000" w:themeColor="text1"/>
          <w:w w:val="90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w w:val="90"/>
          <w:sz w:val="28"/>
          <w:szCs w:val="24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 w:cs="仿宋"/>
          <w:color w:val="000000" w:themeColor="text1"/>
          <w:w w:val="90"/>
          <w:sz w:val="28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int="eastAsia" w:ascii="仿宋" w:hAnsi="仿宋" w:eastAsia="仿宋" w:cs="仿宋"/>
          <w:b/>
          <w:bCs/>
          <w:color w:val="000000" w:themeColor="text1"/>
          <w:w w:val="90"/>
          <w:sz w:val="28"/>
          <w:szCs w:val="24"/>
          <w14:textFill>
            <w14:solidFill>
              <w14:schemeClr w14:val="tx1"/>
            </w14:solidFill>
          </w14:textFill>
        </w:rPr>
        <w:t>北京中建科信管理咨询集团有限公司</w:t>
      </w:r>
    </w:p>
    <w:p w14:paraId="52B4DC5B">
      <w:pPr>
        <w:spacing w:line="500" w:lineRule="exact"/>
        <w:ind w:firstLine="843" w:firstLineChars="300"/>
        <w:rPr>
          <w:rFonts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 w14:paraId="41289303">
      <w:pPr>
        <w:widowControl/>
        <w:jc w:val="left"/>
        <w:rPr>
          <w:rFonts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page"/>
      </w:r>
    </w:p>
    <w:p w14:paraId="2F5DAE32">
      <w:pPr>
        <w:rPr>
          <w:rFonts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附件：</w:t>
      </w:r>
    </w:p>
    <w:p w14:paraId="0D787755">
      <w:pPr>
        <w:spacing w:line="480" w:lineRule="exact"/>
        <w:ind w:right="-147" w:rightChars="-70"/>
        <w:jc w:val="center"/>
        <w:rPr>
          <w:rFonts w:hint="eastAsia" w:ascii="仿宋" w:hAnsi="仿宋" w:eastAsia="仿宋" w:cs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“‘十五五’开局之年畅通多元融资渠道</w:t>
      </w:r>
    </w:p>
    <w:p w14:paraId="4213ACA2">
      <w:pPr>
        <w:spacing w:line="480" w:lineRule="exact"/>
        <w:ind w:right="-147" w:rightChars="-70"/>
        <w:jc w:val="center"/>
        <w:rPr>
          <w:rFonts w:ascii="仿宋" w:hAnsi="仿宋" w:eastAsia="仿宋" w:cs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暨2027年项目谋划与储备、‘六张网’建设、城市更新及国企市场化发展实操高级研修班”报名回执表</w:t>
      </w:r>
    </w:p>
    <w:tbl>
      <w:tblPr>
        <w:tblStyle w:val="10"/>
        <w:tblpPr w:leftFromText="180" w:rightFromText="180" w:vertAnchor="text" w:horzAnchor="page" w:tblpX="1225" w:tblpY="287"/>
        <w:tblW w:w="98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854"/>
        <w:gridCol w:w="1293"/>
        <w:gridCol w:w="1952"/>
        <w:gridCol w:w="1896"/>
        <w:gridCol w:w="2164"/>
      </w:tblGrid>
      <w:tr w14:paraId="2C9D4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7C78F05F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4099" w:type="dxa"/>
            <w:gridSpan w:val="3"/>
            <w:vAlign w:val="center"/>
          </w:tcPr>
          <w:p w14:paraId="7099A5AC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1602348D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 编</w:t>
            </w:r>
          </w:p>
        </w:tc>
        <w:tc>
          <w:tcPr>
            <w:tcW w:w="2164" w:type="dxa"/>
            <w:vAlign w:val="center"/>
          </w:tcPr>
          <w:p w14:paraId="702DD30C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8B5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06D38492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单位地址</w:t>
            </w:r>
          </w:p>
        </w:tc>
        <w:tc>
          <w:tcPr>
            <w:tcW w:w="8159" w:type="dxa"/>
            <w:gridSpan w:val="5"/>
            <w:vAlign w:val="center"/>
          </w:tcPr>
          <w:p w14:paraId="4C12D15A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02A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196267FD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 系 人</w:t>
            </w:r>
          </w:p>
        </w:tc>
        <w:tc>
          <w:tcPr>
            <w:tcW w:w="2147" w:type="dxa"/>
            <w:gridSpan w:val="2"/>
            <w:vAlign w:val="center"/>
          </w:tcPr>
          <w:p w14:paraId="3B08D22D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02FD49C9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    务</w:t>
            </w:r>
          </w:p>
        </w:tc>
        <w:tc>
          <w:tcPr>
            <w:tcW w:w="4060" w:type="dxa"/>
            <w:gridSpan w:val="2"/>
            <w:vAlign w:val="center"/>
          </w:tcPr>
          <w:p w14:paraId="78A4AE35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3A3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0B2109A1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手    机</w:t>
            </w:r>
          </w:p>
        </w:tc>
        <w:tc>
          <w:tcPr>
            <w:tcW w:w="2147" w:type="dxa"/>
            <w:gridSpan w:val="2"/>
            <w:vAlign w:val="center"/>
          </w:tcPr>
          <w:p w14:paraId="798651E1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66644728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办公电话</w:t>
            </w:r>
          </w:p>
        </w:tc>
        <w:tc>
          <w:tcPr>
            <w:tcW w:w="4060" w:type="dxa"/>
            <w:gridSpan w:val="2"/>
            <w:vAlign w:val="center"/>
          </w:tcPr>
          <w:p w14:paraId="0490093F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358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1245C157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传    真</w:t>
            </w:r>
          </w:p>
        </w:tc>
        <w:tc>
          <w:tcPr>
            <w:tcW w:w="2147" w:type="dxa"/>
            <w:gridSpan w:val="2"/>
            <w:vAlign w:val="center"/>
          </w:tcPr>
          <w:p w14:paraId="12F6CE58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0E4C9B1B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电子信箱</w:t>
            </w:r>
          </w:p>
        </w:tc>
        <w:tc>
          <w:tcPr>
            <w:tcW w:w="4060" w:type="dxa"/>
            <w:gridSpan w:val="2"/>
            <w:vAlign w:val="center"/>
          </w:tcPr>
          <w:p w14:paraId="6E9B1D94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F3F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75759DCB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参训人员</w:t>
            </w:r>
          </w:p>
        </w:tc>
        <w:tc>
          <w:tcPr>
            <w:tcW w:w="854" w:type="dxa"/>
            <w:vAlign w:val="center"/>
          </w:tcPr>
          <w:p w14:paraId="67EC4622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293" w:type="dxa"/>
            <w:vAlign w:val="center"/>
          </w:tcPr>
          <w:p w14:paraId="20C9F9FC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  务</w:t>
            </w:r>
          </w:p>
        </w:tc>
        <w:tc>
          <w:tcPr>
            <w:tcW w:w="1952" w:type="dxa"/>
            <w:vAlign w:val="center"/>
          </w:tcPr>
          <w:p w14:paraId="2CC3E2A5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    话</w:t>
            </w:r>
          </w:p>
        </w:tc>
        <w:tc>
          <w:tcPr>
            <w:tcW w:w="1896" w:type="dxa"/>
            <w:vAlign w:val="center"/>
          </w:tcPr>
          <w:p w14:paraId="23862890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手  机</w:t>
            </w:r>
          </w:p>
        </w:tc>
        <w:tc>
          <w:tcPr>
            <w:tcW w:w="2164" w:type="dxa"/>
            <w:vAlign w:val="center"/>
          </w:tcPr>
          <w:p w14:paraId="4AAA4EBB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  箱</w:t>
            </w:r>
          </w:p>
        </w:tc>
      </w:tr>
      <w:tr w14:paraId="618B1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22234101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29C7E4DE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47ECABCE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512C054E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20EB832B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286B881A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BE1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1D058D41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20BCF41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4E270CEE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75629FE5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32463A58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713FEAA5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A38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1DD779C6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6B980652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31292A85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4DE55C2B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3BFF5BEF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2AE34416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436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50881837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7F408F7E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39B8D407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64BA8631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58BD0F52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1F2FDF90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B98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71C4473B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6167395A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41ACC5C4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04A728D7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5890D2D0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7CA15B1D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A97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68E64DF9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参训时间</w:t>
            </w:r>
          </w:p>
        </w:tc>
        <w:tc>
          <w:tcPr>
            <w:tcW w:w="2147" w:type="dxa"/>
            <w:gridSpan w:val="2"/>
            <w:vAlign w:val="center"/>
          </w:tcPr>
          <w:p w14:paraId="3ADAD072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5F46567A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参训地点</w:t>
            </w:r>
          </w:p>
        </w:tc>
        <w:tc>
          <w:tcPr>
            <w:tcW w:w="4060" w:type="dxa"/>
            <w:gridSpan w:val="2"/>
            <w:vAlign w:val="center"/>
          </w:tcPr>
          <w:p w14:paraId="3F94851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59F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55A6EF06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住宿要求</w:t>
            </w:r>
          </w:p>
        </w:tc>
        <w:tc>
          <w:tcPr>
            <w:tcW w:w="8159" w:type="dxa"/>
            <w:gridSpan w:val="5"/>
            <w:vAlign w:val="center"/>
          </w:tcPr>
          <w:p w14:paraId="6ECBA3E8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单住□      合住□     自理□</w:t>
            </w:r>
          </w:p>
        </w:tc>
      </w:tr>
      <w:tr w14:paraId="0E597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5F7FB665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证书申报</w:t>
            </w:r>
          </w:p>
        </w:tc>
        <w:tc>
          <w:tcPr>
            <w:tcW w:w="8159" w:type="dxa"/>
            <w:gridSpan w:val="5"/>
            <w:vAlign w:val="center"/>
          </w:tcPr>
          <w:p w14:paraId="6DC2DE1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证书□</w:t>
            </w:r>
          </w:p>
        </w:tc>
      </w:tr>
      <w:tr w14:paraId="75FF6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62B64447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付款方式</w:t>
            </w:r>
          </w:p>
        </w:tc>
        <w:tc>
          <w:tcPr>
            <w:tcW w:w="4099" w:type="dxa"/>
            <w:gridSpan w:val="3"/>
            <w:vAlign w:val="center"/>
          </w:tcPr>
          <w:p w14:paraId="6E63BDD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银行转账□      现场交费□</w:t>
            </w:r>
          </w:p>
        </w:tc>
        <w:tc>
          <w:tcPr>
            <w:tcW w:w="1896" w:type="dxa"/>
            <w:vAlign w:val="center"/>
          </w:tcPr>
          <w:p w14:paraId="51BF4296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金 额</w:t>
            </w:r>
          </w:p>
        </w:tc>
        <w:tc>
          <w:tcPr>
            <w:tcW w:w="2164" w:type="dxa"/>
          </w:tcPr>
          <w:p w14:paraId="18E80F3E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876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5" w:hRule="atLeast"/>
        </w:trPr>
        <w:tc>
          <w:tcPr>
            <w:tcW w:w="1678" w:type="dxa"/>
            <w:vAlign w:val="center"/>
          </w:tcPr>
          <w:p w14:paraId="64A9BA40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0F0B5600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收款信息</w:t>
            </w:r>
          </w:p>
        </w:tc>
        <w:tc>
          <w:tcPr>
            <w:tcW w:w="8159" w:type="dxa"/>
            <w:gridSpan w:val="5"/>
            <w:vAlign w:val="center"/>
          </w:tcPr>
          <w:p w14:paraId="7C28E301">
            <w:pPr>
              <w:tabs>
                <w:tab w:val="left" w:pos="567"/>
                <w:tab w:val="left" w:pos="709"/>
              </w:tabs>
              <w:spacing w:line="360" w:lineRule="auto"/>
              <w:jc w:val="left"/>
              <w:textAlignment w:val="baseline"/>
              <w:outlineLvl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开户名称：北京中建科信管理咨询集团有限公司</w:t>
            </w:r>
          </w:p>
          <w:p w14:paraId="256B2E28">
            <w:pPr>
              <w:tabs>
                <w:tab w:val="left" w:pos="567"/>
                <w:tab w:val="left" w:pos="709"/>
              </w:tabs>
              <w:spacing w:line="360" w:lineRule="auto"/>
              <w:jc w:val="left"/>
              <w:textAlignment w:val="baseline"/>
              <w:outlineLvl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开 户 行：中国工商银行股份有限公司北京半壁店支行</w:t>
            </w:r>
          </w:p>
          <w:p w14:paraId="1D2333A7">
            <w:pPr>
              <w:tabs>
                <w:tab w:val="left" w:pos="567"/>
                <w:tab w:val="left" w:pos="709"/>
              </w:tabs>
              <w:spacing w:line="360" w:lineRule="auto"/>
              <w:jc w:val="left"/>
              <w:textAlignment w:val="baseline"/>
              <w:outlineLvl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账    号：0200247009200068235</w:t>
            </w:r>
          </w:p>
        </w:tc>
      </w:tr>
      <w:tr w14:paraId="0AA2F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1678" w:type="dxa"/>
            <w:vAlign w:val="center"/>
          </w:tcPr>
          <w:p w14:paraId="69AC2781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    注</w:t>
            </w:r>
          </w:p>
        </w:tc>
        <w:tc>
          <w:tcPr>
            <w:tcW w:w="4099" w:type="dxa"/>
            <w:gridSpan w:val="3"/>
            <w:vAlign w:val="center"/>
          </w:tcPr>
          <w:p w14:paraId="51004B6A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本课程可根据单位实际需</w:t>
            </w:r>
          </w:p>
          <w:p w14:paraId="7E9C82D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求，提供内部培训。</w:t>
            </w:r>
          </w:p>
        </w:tc>
        <w:tc>
          <w:tcPr>
            <w:tcW w:w="4060" w:type="dxa"/>
            <w:gridSpan w:val="2"/>
            <w:vAlign w:val="center"/>
          </w:tcPr>
          <w:p w14:paraId="0DD32970">
            <w:pPr>
              <w:tabs>
                <w:tab w:val="left" w:pos="567"/>
                <w:tab w:val="left" w:pos="709"/>
              </w:tabs>
              <w:spacing w:line="300" w:lineRule="exact"/>
              <w:ind w:firstLine="280" w:firstLineChars="100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636A11A2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参加</w:t>
            </w:r>
            <w:r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0C02606B">
            <w:pPr>
              <w:pStyle w:val="9"/>
              <w:ind w:left="480" w:firstLine="480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1D58EF0">
            <w:pPr>
              <w:tabs>
                <w:tab w:val="left" w:pos="567"/>
                <w:tab w:val="left" w:pos="709"/>
              </w:tabs>
              <w:spacing w:line="300" w:lineRule="exact"/>
              <w:ind w:firstLine="2240" w:firstLineChars="800"/>
              <w:textAlignment w:val="baseline"/>
              <w:outlineLvl w:val="0"/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</w:tbl>
    <w:p w14:paraId="2516F281">
      <w:pPr>
        <w:spacing w:line="440" w:lineRule="exact"/>
        <w:ind w:right="-147" w:rightChars="-70"/>
        <w:rPr>
          <w:rFonts w:hint="eastAsia" w:ascii="仿宋" w:hAnsi="仿宋" w:eastAsia="仿宋"/>
          <w:color w:val="000000" w:themeColor="text1"/>
          <w:spacing w:val="8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pacing w:val="8"/>
          <w:sz w:val="28"/>
          <w:szCs w:val="28"/>
          <w14:textFill>
            <w14:solidFill>
              <w14:schemeClr w14:val="tx1"/>
            </w14:solidFill>
          </w14:textFill>
        </w:rPr>
        <w:t xml:space="preserve">报名负责人：聂红军 主任18211071700（微信）   </w:t>
      </w:r>
    </w:p>
    <w:p w14:paraId="6DB54DCF">
      <w:pPr>
        <w:spacing w:line="440" w:lineRule="exact"/>
        <w:ind w:right="-147" w:rightChars="-70"/>
        <w:rPr>
          <w:rFonts w:hint="eastAsia" w:ascii="仿宋" w:hAnsi="仿宋" w:eastAsia="仿宋"/>
          <w:color w:val="000000" w:themeColor="text1"/>
          <w:spacing w:val="8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pacing w:val="8"/>
          <w:sz w:val="28"/>
          <w:szCs w:val="28"/>
          <w14:textFill>
            <w14:solidFill>
              <w14:schemeClr w14:val="tx1"/>
            </w14:solidFill>
          </w14:textFill>
        </w:rPr>
        <w:t xml:space="preserve">电    话：13141289128        邮    箱：470882753@qq.com  </w:t>
      </w:r>
    </w:p>
    <w:p w14:paraId="3FA5535B">
      <w:pPr>
        <w:spacing w:line="440" w:lineRule="exact"/>
        <w:ind w:right="-147" w:rightChars="-70"/>
        <w:rPr>
          <w:rFonts w:hint="eastAsia" w:ascii="仿宋" w:hAnsi="仿宋" w:eastAsia="仿宋"/>
          <w:color w:val="000000" w:themeColor="text1"/>
          <w:spacing w:val="8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pacing w:val="8"/>
          <w:sz w:val="28"/>
          <w:szCs w:val="28"/>
          <w14:textFill>
            <w14:solidFill>
              <w14:schemeClr w14:val="tx1"/>
            </w14:solidFill>
          </w14:textFill>
        </w:rPr>
        <w:t>qq咨询：470882753            网    址：www.zqgpchina.cn</w:t>
      </w:r>
    </w:p>
    <w:sectPr>
      <w:pgSz w:w="11906" w:h="16838"/>
      <w:pgMar w:top="1440" w:right="146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AEB21A"/>
    <w:multiLevelType w:val="singleLevel"/>
    <w:tmpl w:val="98AEB21A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AA8103F"/>
    <w:multiLevelType w:val="singleLevel"/>
    <w:tmpl w:val="9AA8103F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3AB7A1C"/>
    <w:multiLevelType w:val="singleLevel"/>
    <w:tmpl w:val="F3AB7A1C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gzNDM4Y2FiYTQ0ZDExNjg0MjEzZDViYjkxMTI4NDIifQ=="/>
  </w:docVars>
  <w:rsids>
    <w:rsidRoot w:val="00D51FAA"/>
    <w:rsid w:val="00000508"/>
    <w:rsid w:val="00037700"/>
    <w:rsid w:val="00060C6A"/>
    <w:rsid w:val="00084460"/>
    <w:rsid w:val="000A17E5"/>
    <w:rsid w:val="000A4852"/>
    <w:rsid w:val="000A5A9D"/>
    <w:rsid w:val="000D6B55"/>
    <w:rsid w:val="000E1574"/>
    <w:rsid w:val="000E204B"/>
    <w:rsid w:val="001234DF"/>
    <w:rsid w:val="001815E2"/>
    <w:rsid w:val="001A64D3"/>
    <w:rsid w:val="001B7E39"/>
    <w:rsid w:val="001E6722"/>
    <w:rsid w:val="002202BE"/>
    <w:rsid w:val="00231F16"/>
    <w:rsid w:val="0025634D"/>
    <w:rsid w:val="00263FBD"/>
    <w:rsid w:val="00265282"/>
    <w:rsid w:val="00266CDF"/>
    <w:rsid w:val="00272A46"/>
    <w:rsid w:val="002749C9"/>
    <w:rsid w:val="0027718C"/>
    <w:rsid w:val="002842F3"/>
    <w:rsid w:val="00292E6A"/>
    <w:rsid w:val="002D0407"/>
    <w:rsid w:val="002D3499"/>
    <w:rsid w:val="003144E6"/>
    <w:rsid w:val="00327A7D"/>
    <w:rsid w:val="00342E6E"/>
    <w:rsid w:val="0038106F"/>
    <w:rsid w:val="003C409A"/>
    <w:rsid w:val="003F099E"/>
    <w:rsid w:val="00406D20"/>
    <w:rsid w:val="00412275"/>
    <w:rsid w:val="0042621A"/>
    <w:rsid w:val="0044681F"/>
    <w:rsid w:val="00447DB3"/>
    <w:rsid w:val="00455750"/>
    <w:rsid w:val="00464B66"/>
    <w:rsid w:val="00476D6E"/>
    <w:rsid w:val="00480F5F"/>
    <w:rsid w:val="00484633"/>
    <w:rsid w:val="004A6EFA"/>
    <w:rsid w:val="004C036A"/>
    <w:rsid w:val="004F014E"/>
    <w:rsid w:val="00545C93"/>
    <w:rsid w:val="00594AD1"/>
    <w:rsid w:val="005A569B"/>
    <w:rsid w:val="005C4CD4"/>
    <w:rsid w:val="005C56FC"/>
    <w:rsid w:val="005D185D"/>
    <w:rsid w:val="005D781B"/>
    <w:rsid w:val="005F0B6F"/>
    <w:rsid w:val="00613706"/>
    <w:rsid w:val="00615433"/>
    <w:rsid w:val="00624B79"/>
    <w:rsid w:val="00650467"/>
    <w:rsid w:val="00650EEF"/>
    <w:rsid w:val="006557C2"/>
    <w:rsid w:val="006672EF"/>
    <w:rsid w:val="00671A31"/>
    <w:rsid w:val="0067446E"/>
    <w:rsid w:val="00682707"/>
    <w:rsid w:val="006836BA"/>
    <w:rsid w:val="00687C2D"/>
    <w:rsid w:val="00693CB1"/>
    <w:rsid w:val="006A2ADA"/>
    <w:rsid w:val="006C5089"/>
    <w:rsid w:val="006C6CA9"/>
    <w:rsid w:val="006D402B"/>
    <w:rsid w:val="007055F1"/>
    <w:rsid w:val="0070729C"/>
    <w:rsid w:val="0074601B"/>
    <w:rsid w:val="007554FC"/>
    <w:rsid w:val="00770C10"/>
    <w:rsid w:val="00772C12"/>
    <w:rsid w:val="007977E4"/>
    <w:rsid w:val="007D1096"/>
    <w:rsid w:val="008033D8"/>
    <w:rsid w:val="0082209D"/>
    <w:rsid w:val="00830220"/>
    <w:rsid w:val="00832F5A"/>
    <w:rsid w:val="008404E0"/>
    <w:rsid w:val="008753AE"/>
    <w:rsid w:val="00886602"/>
    <w:rsid w:val="008F516C"/>
    <w:rsid w:val="00914EBA"/>
    <w:rsid w:val="00947FFC"/>
    <w:rsid w:val="00966889"/>
    <w:rsid w:val="009B20C6"/>
    <w:rsid w:val="009C15B0"/>
    <w:rsid w:val="009C49B0"/>
    <w:rsid w:val="009C4CB6"/>
    <w:rsid w:val="009F5606"/>
    <w:rsid w:val="00A244AC"/>
    <w:rsid w:val="00B05DFF"/>
    <w:rsid w:val="00B55E7C"/>
    <w:rsid w:val="00BB2B72"/>
    <w:rsid w:val="00BC3588"/>
    <w:rsid w:val="00C26406"/>
    <w:rsid w:val="00C37349"/>
    <w:rsid w:val="00C54CDA"/>
    <w:rsid w:val="00C64E76"/>
    <w:rsid w:val="00C918E2"/>
    <w:rsid w:val="00C94641"/>
    <w:rsid w:val="00CB3A61"/>
    <w:rsid w:val="00CC6EA9"/>
    <w:rsid w:val="00CC72ED"/>
    <w:rsid w:val="00CE06C5"/>
    <w:rsid w:val="00D14AE9"/>
    <w:rsid w:val="00D21338"/>
    <w:rsid w:val="00D51FAA"/>
    <w:rsid w:val="00D613DB"/>
    <w:rsid w:val="00D948A5"/>
    <w:rsid w:val="00DA6AE7"/>
    <w:rsid w:val="00DC72ED"/>
    <w:rsid w:val="00DF08E3"/>
    <w:rsid w:val="00E319C5"/>
    <w:rsid w:val="00E53EF0"/>
    <w:rsid w:val="00E826A8"/>
    <w:rsid w:val="00E86FBD"/>
    <w:rsid w:val="00E90724"/>
    <w:rsid w:val="00E922E5"/>
    <w:rsid w:val="00EC12C0"/>
    <w:rsid w:val="00EE50FD"/>
    <w:rsid w:val="00F674BD"/>
    <w:rsid w:val="00F707DD"/>
    <w:rsid w:val="00F814AB"/>
    <w:rsid w:val="00F828B6"/>
    <w:rsid w:val="00FA1C1A"/>
    <w:rsid w:val="00FA1D2A"/>
    <w:rsid w:val="00FA338C"/>
    <w:rsid w:val="00FB33B5"/>
    <w:rsid w:val="00FB5E44"/>
    <w:rsid w:val="01E0373D"/>
    <w:rsid w:val="01EF20C6"/>
    <w:rsid w:val="02C866AB"/>
    <w:rsid w:val="02DF39F5"/>
    <w:rsid w:val="033B50CF"/>
    <w:rsid w:val="034B42C3"/>
    <w:rsid w:val="034C3C31"/>
    <w:rsid w:val="04812FB5"/>
    <w:rsid w:val="0490144A"/>
    <w:rsid w:val="04A15406"/>
    <w:rsid w:val="06252E77"/>
    <w:rsid w:val="0687062B"/>
    <w:rsid w:val="06D7510F"/>
    <w:rsid w:val="07034156"/>
    <w:rsid w:val="07302A71"/>
    <w:rsid w:val="07852DBD"/>
    <w:rsid w:val="07943000"/>
    <w:rsid w:val="09D73678"/>
    <w:rsid w:val="0A1D552E"/>
    <w:rsid w:val="0A3E36F7"/>
    <w:rsid w:val="0A7D208E"/>
    <w:rsid w:val="0A967156"/>
    <w:rsid w:val="0A9D7617"/>
    <w:rsid w:val="0AD007F3"/>
    <w:rsid w:val="0B106E41"/>
    <w:rsid w:val="0BC1638D"/>
    <w:rsid w:val="0BCB0FBA"/>
    <w:rsid w:val="0BFC73C5"/>
    <w:rsid w:val="0C1C1816"/>
    <w:rsid w:val="0C2B1A59"/>
    <w:rsid w:val="0CA5180B"/>
    <w:rsid w:val="0D0E5602"/>
    <w:rsid w:val="0D441024"/>
    <w:rsid w:val="0D815DD4"/>
    <w:rsid w:val="0DB241E0"/>
    <w:rsid w:val="0DD156DA"/>
    <w:rsid w:val="0DF2116D"/>
    <w:rsid w:val="0E0D58BA"/>
    <w:rsid w:val="0E3C32D3"/>
    <w:rsid w:val="0F362BEE"/>
    <w:rsid w:val="0F4B5D64"/>
    <w:rsid w:val="0F7756E1"/>
    <w:rsid w:val="0F783207"/>
    <w:rsid w:val="100B5E29"/>
    <w:rsid w:val="10725EA8"/>
    <w:rsid w:val="108160EB"/>
    <w:rsid w:val="111B02EE"/>
    <w:rsid w:val="11673533"/>
    <w:rsid w:val="13DD7ADC"/>
    <w:rsid w:val="144813FA"/>
    <w:rsid w:val="14942891"/>
    <w:rsid w:val="14AD738E"/>
    <w:rsid w:val="15015A4D"/>
    <w:rsid w:val="15773C83"/>
    <w:rsid w:val="15DF7B3C"/>
    <w:rsid w:val="161750A6"/>
    <w:rsid w:val="164125A5"/>
    <w:rsid w:val="1686445B"/>
    <w:rsid w:val="169E79F7"/>
    <w:rsid w:val="16E4489F"/>
    <w:rsid w:val="17936E30"/>
    <w:rsid w:val="18041ADC"/>
    <w:rsid w:val="18100480"/>
    <w:rsid w:val="189F1804"/>
    <w:rsid w:val="18CE20EA"/>
    <w:rsid w:val="18F97167"/>
    <w:rsid w:val="190D3CAF"/>
    <w:rsid w:val="194A79C2"/>
    <w:rsid w:val="19B65058"/>
    <w:rsid w:val="1A0933D9"/>
    <w:rsid w:val="1A27306A"/>
    <w:rsid w:val="1AA11864"/>
    <w:rsid w:val="1B23671D"/>
    <w:rsid w:val="1BE8270C"/>
    <w:rsid w:val="1C0302FC"/>
    <w:rsid w:val="1C21381E"/>
    <w:rsid w:val="1C2564C4"/>
    <w:rsid w:val="1D1C1676"/>
    <w:rsid w:val="1D94437F"/>
    <w:rsid w:val="1EA638ED"/>
    <w:rsid w:val="1F0C571A"/>
    <w:rsid w:val="1F7D3C3E"/>
    <w:rsid w:val="200A7EAB"/>
    <w:rsid w:val="201E5705"/>
    <w:rsid w:val="20996A84"/>
    <w:rsid w:val="20E406FC"/>
    <w:rsid w:val="21470C8B"/>
    <w:rsid w:val="21507B40"/>
    <w:rsid w:val="21584C46"/>
    <w:rsid w:val="21EB7868"/>
    <w:rsid w:val="22162B37"/>
    <w:rsid w:val="225418B2"/>
    <w:rsid w:val="228201CD"/>
    <w:rsid w:val="22C5630B"/>
    <w:rsid w:val="22DB5B2F"/>
    <w:rsid w:val="237044C9"/>
    <w:rsid w:val="23A83C63"/>
    <w:rsid w:val="23B56380"/>
    <w:rsid w:val="24172B97"/>
    <w:rsid w:val="24206BFA"/>
    <w:rsid w:val="243E6375"/>
    <w:rsid w:val="24457704"/>
    <w:rsid w:val="25453733"/>
    <w:rsid w:val="25916E66"/>
    <w:rsid w:val="26D134D1"/>
    <w:rsid w:val="27322CEB"/>
    <w:rsid w:val="27A97FAA"/>
    <w:rsid w:val="27FA3FBF"/>
    <w:rsid w:val="28347296"/>
    <w:rsid w:val="285F4B0C"/>
    <w:rsid w:val="286345FC"/>
    <w:rsid w:val="28F8538E"/>
    <w:rsid w:val="290C6A42"/>
    <w:rsid w:val="29114058"/>
    <w:rsid w:val="291458F7"/>
    <w:rsid w:val="294F2DD3"/>
    <w:rsid w:val="29CB06AB"/>
    <w:rsid w:val="29EE2863"/>
    <w:rsid w:val="2A3F4BF5"/>
    <w:rsid w:val="2B7C67AE"/>
    <w:rsid w:val="2B856FA1"/>
    <w:rsid w:val="2B8950A0"/>
    <w:rsid w:val="2BA2543C"/>
    <w:rsid w:val="2BF85682"/>
    <w:rsid w:val="2C2105F0"/>
    <w:rsid w:val="2C9D682B"/>
    <w:rsid w:val="2CA06C68"/>
    <w:rsid w:val="2CFC6DCE"/>
    <w:rsid w:val="2D83129D"/>
    <w:rsid w:val="2E020414"/>
    <w:rsid w:val="2F1A178D"/>
    <w:rsid w:val="30450A8C"/>
    <w:rsid w:val="3087555D"/>
    <w:rsid w:val="309C68FD"/>
    <w:rsid w:val="314A45AB"/>
    <w:rsid w:val="317E4255"/>
    <w:rsid w:val="327570DE"/>
    <w:rsid w:val="32851613"/>
    <w:rsid w:val="32902492"/>
    <w:rsid w:val="32A777DC"/>
    <w:rsid w:val="3333106F"/>
    <w:rsid w:val="34D50630"/>
    <w:rsid w:val="35544EB1"/>
    <w:rsid w:val="35EF5721"/>
    <w:rsid w:val="361E7A82"/>
    <w:rsid w:val="365B2DB7"/>
    <w:rsid w:val="36AB7210"/>
    <w:rsid w:val="37465815"/>
    <w:rsid w:val="377F2AD5"/>
    <w:rsid w:val="37A97B52"/>
    <w:rsid w:val="37E312B6"/>
    <w:rsid w:val="380F16DC"/>
    <w:rsid w:val="38997BC6"/>
    <w:rsid w:val="38E80F6D"/>
    <w:rsid w:val="3A3951BD"/>
    <w:rsid w:val="3A4D1D60"/>
    <w:rsid w:val="3A9C399E"/>
    <w:rsid w:val="3AC84793"/>
    <w:rsid w:val="3B007A89"/>
    <w:rsid w:val="3B0752BB"/>
    <w:rsid w:val="3B11613A"/>
    <w:rsid w:val="3B117EE8"/>
    <w:rsid w:val="3C97266F"/>
    <w:rsid w:val="3CDC4526"/>
    <w:rsid w:val="3DBE1A5A"/>
    <w:rsid w:val="3DDC2A2F"/>
    <w:rsid w:val="3DFC4E7F"/>
    <w:rsid w:val="3F0D4E6A"/>
    <w:rsid w:val="3F7B0026"/>
    <w:rsid w:val="3FA4132B"/>
    <w:rsid w:val="3FBB6674"/>
    <w:rsid w:val="3FC27A03"/>
    <w:rsid w:val="3FE23E26"/>
    <w:rsid w:val="402D39CB"/>
    <w:rsid w:val="404E74E8"/>
    <w:rsid w:val="41196D42"/>
    <w:rsid w:val="4162324B"/>
    <w:rsid w:val="419C7DEA"/>
    <w:rsid w:val="41A01FC6"/>
    <w:rsid w:val="42237912"/>
    <w:rsid w:val="4286357D"/>
    <w:rsid w:val="42FC76D0"/>
    <w:rsid w:val="434A21E9"/>
    <w:rsid w:val="43CC70A2"/>
    <w:rsid w:val="43E73EDC"/>
    <w:rsid w:val="4404683C"/>
    <w:rsid w:val="441F5424"/>
    <w:rsid w:val="44BA339E"/>
    <w:rsid w:val="44C8242D"/>
    <w:rsid w:val="4531037F"/>
    <w:rsid w:val="459B4F7E"/>
    <w:rsid w:val="459C0CF6"/>
    <w:rsid w:val="45A94AFE"/>
    <w:rsid w:val="45B65486"/>
    <w:rsid w:val="45CD7101"/>
    <w:rsid w:val="46192347"/>
    <w:rsid w:val="46244F73"/>
    <w:rsid w:val="4781076D"/>
    <w:rsid w:val="47C942DE"/>
    <w:rsid w:val="480212E4"/>
    <w:rsid w:val="48C12F4D"/>
    <w:rsid w:val="4A387D41"/>
    <w:rsid w:val="4AB64608"/>
    <w:rsid w:val="4AB8212E"/>
    <w:rsid w:val="4AFA2747"/>
    <w:rsid w:val="4B0C247A"/>
    <w:rsid w:val="4B1D6435"/>
    <w:rsid w:val="4B4C153B"/>
    <w:rsid w:val="4B814C16"/>
    <w:rsid w:val="4BC114B6"/>
    <w:rsid w:val="4C5B5467"/>
    <w:rsid w:val="4D5519C8"/>
    <w:rsid w:val="4D933821"/>
    <w:rsid w:val="4D977639"/>
    <w:rsid w:val="4E7E348D"/>
    <w:rsid w:val="4E7F5DE7"/>
    <w:rsid w:val="4EA76741"/>
    <w:rsid w:val="4F052825"/>
    <w:rsid w:val="4F684BFF"/>
    <w:rsid w:val="4F95546D"/>
    <w:rsid w:val="4FD55530"/>
    <w:rsid w:val="5004187B"/>
    <w:rsid w:val="50114533"/>
    <w:rsid w:val="501778F7"/>
    <w:rsid w:val="50414974"/>
    <w:rsid w:val="505019C3"/>
    <w:rsid w:val="50834F8C"/>
    <w:rsid w:val="50FD6AED"/>
    <w:rsid w:val="517F5754"/>
    <w:rsid w:val="519D207E"/>
    <w:rsid w:val="53590226"/>
    <w:rsid w:val="53803A05"/>
    <w:rsid w:val="538C23AA"/>
    <w:rsid w:val="53CB2ED2"/>
    <w:rsid w:val="53F51CFD"/>
    <w:rsid w:val="545306B4"/>
    <w:rsid w:val="55592760"/>
    <w:rsid w:val="55F07A61"/>
    <w:rsid w:val="55FC102D"/>
    <w:rsid w:val="55FF9B2E"/>
    <w:rsid w:val="563A5319"/>
    <w:rsid w:val="56680EAC"/>
    <w:rsid w:val="56890E23"/>
    <w:rsid w:val="568E6439"/>
    <w:rsid w:val="56B7773E"/>
    <w:rsid w:val="5773C710"/>
    <w:rsid w:val="57E26A3C"/>
    <w:rsid w:val="590F3861"/>
    <w:rsid w:val="5963656D"/>
    <w:rsid w:val="5A985301"/>
    <w:rsid w:val="5AD43560"/>
    <w:rsid w:val="5C0C4E6B"/>
    <w:rsid w:val="5C133668"/>
    <w:rsid w:val="5C89392A"/>
    <w:rsid w:val="5CAA0600"/>
    <w:rsid w:val="5CCF2C88"/>
    <w:rsid w:val="5CE943C9"/>
    <w:rsid w:val="5CFC234E"/>
    <w:rsid w:val="5DCA41FA"/>
    <w:rsid w:val="5E1E4546"/>
    <w:rsid w:val="5E8F31A2"/>
    <w:rsid w:val="5F17C656"/>
    <w:rsid w:val="5F742670"/>
    <w:rsid w:val="5FBA6029"/>
    <w:rsid w:val="60883C70"/>
    <w:rsid w:val="611117BC"/>
    <w:rsid w:val="61131A15"/>
    <w:rsid w:val="61DF3FED"/>
    <w:rsid w:val="61E539EF"/>
    <w:rsid w:val="62015ADE"/>
    <w:rsid w:val="62404A8B"/>
    <w:rsid w:val="62856942"/>
    <w:rsid w:val="629B6165"/>
    <w:rsid w:val="62F53AC8"/>
    <w:rsid w:val="63091321"/>
    <w:rsid w:val="63C72C14"/>
    <w:rsid w:val="65110961"/>
    <w:rsid w:val="65611773"/>
    <w:rsid w:val="65B732B6"/>
    <w:rsid w:val="6603474E"/>
    <w:rsid w:val="66342B59"/>
    <w:rsid w:val="66682803"/>
    <w:rsid w:val="677F7E04"/>
    <w:rsid w:val="690E2E58"/>
    <w:rsid w:val="693115D2"/>
    <w:rsid w:val="697274F4"/>
    <w:rsid w:val="6A333127"/>
    <w:rsid w:val="6A6E7CFF"/>
    <w:rsid w:val="6A8A71EB"/>
    <w:rsid w:val="6AAF0A00"/>
    <w:rsid w:val="6AB9187F"/>
    <w:rsid w:val="6B4A697B"/>
    <w:rsid w:val="6B5E13C7"/>
    <w:rsid w:val="6BBD7303"/>
    <w:rsid w:val="6C88775B"/>
    <w:rsid w:val="6CD67880"/>
    <w:rsid w:val="6D0B2E97"/>
    <w:rsid w:val="6D3B2A1F"/>
    <w:rsid w:val="6DC02F24"/>
    <w:rsid w:val="6E533D98"/>
    <w:rsid w:val="6E677844"/>
    <w:rsid w:val="6ED99B81"/>
    <w:rsid w:val="6FAAA0DD"/>
    <w:rsid w:val="6FAF14A2"/>
    <w:rsid w:val="704240C4"/>
    <w:rsid w:val="70C745CA"/>
    <w:rsid w:val="70DC0AB1"/>
    <w:rsid w:val="7137174F"/>
    <w:rsid w:val="719B1CDE"/>
    <w:rsid w:val="72086956"/>
    <w:rsid w:val="720930EC"/>
    <w:rsid w:val="722C6DDA"/>
    <w:rsid w:val="72DC5162"/>
    <w:rsid w:val="72DF209E"/>
    <w:rsid w:val="730B4C41"/>
    <w:rsid w:val="73706D62"/>
    <w:rsid w:val="73BF22DB"/>
    <w:rsid w:val="73CA4470"/>
    <w:rsid w:val="7420471D"/>
    <w:rsid w:val="749B0247"/>
    <w:rsid w:val="757E794D"/>
    <w:rsid w:val="75947170"/>
    <w:rsid w:val="759E7FEF"/>
    <w:rsid w:val="75F37E27"/>
    <w:rsid w:val="75FC2F67"/>
    <w:rsid w:val="769A6A08"/>
    <w:rsid w:val="77161E07"/>
    <w:rsid w:val="778B59B2"/>
    <w:rsid w:val="77E837A3"/>
    <w:rsid w:val="78771BB8"/>
    <w:rsid w:val="788B5230"/>
    <w:rsid w:val="78C37D6C"/>
    <w:rsid w:val="79E22D53"/>
    <w:rsid w:val="79EFE92F"/>
    <w:rsid w:val="7A794B87"/>
    <w:rsid w:val="7ABB519F"/>
    <w:rsid w:val="7AC43486"/>
    <w:rsid w:val="7B534407"/>
    <w:rsid w:val="7BF3D07E"/>
    <w:rsid w:val="7BFD9E9D"/>
    <w:rsid w:val="7C1E59E5"/>
    <w:rsid w:val="7C991510"/>
    <w:rsid w:val="7CB400F8"/>
    <w:rsid w:val="7CD12A58"/>
    <w:rsid w:val="7CD3D88D"/>
    <w:rsid w:val="7D1E1A15"/>
    <w:rsid w:val="7D7A4967"/>
    <w:rsid w:val="7DAB14FB"/>
    <w:rsid w:val="7DD1292C"/>
    <w:rsid w:val="7DDEE21D"/>
    <w:rsid w:val="7F480FCB"/>
    <w:rsid w:val="7F671451"/>
    <w:rsid w:val="7F840255"/>
    <w:rsid w:val="7FD36AE7"/>
    <w:rsid w:val="7FF34603"/>
    <w:rsid w:val="7FFD6EDF"/>
    <w:rsid w:val="B3DFA468"/>
    <w:rsid w:val="BFFF538A"/>
    <w:rsid w:val="CCF6F1B0"/>
    <w:rsid w:val="DFBB5A45"/>
    <w:rsid w:val="E69ECEE0"/>
    <w:rsid w:val="E6FF0A08"/>
    <w:rsid w:val="EEEB136F"/>
    <w:rsid w:val="F7BF8CD1"/>
    <w:rsid w:val="FDFF39C8"/>
    <w:rsid w:val="FEF75950"/>
    <w:rsid w:val="FFBC8DD8"/>
    <w:rsid w:val="FFFB9CBF"/>
    <w:rsid w:val="FFFCE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16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next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Theme="minorEastAsia"/>
      <w:b/>
      <w:bCs/>
      <w:sz w:val="32"/>
      <w:szCs w:val="32"/>
    </w:rPr>
  </w:style>
  <w:style w:type="paragraph" w:styleId="9">
    <w:name w:val="Body Text First Indent 2"/>
    <w:basedOn w:val="3"/>
    <w:next w:val="1"/>
    <w:link w:val="19"/>
    <w:qFormat/>
    <w:uiPriority w:val="99"/>
    <w:pPr>
      <w:tabs>
        <w:tab w:val="left" w:pos="-1440"/>
      </w:tabs>
      <w:autoSpaceDE w:val="0"/>
      <w:autoSpaceDN w:val="0"/>
      <w:adjustRightInd w:val="0"/>
      <w:spacing w:after="0" w:line="360" w:lineRule="auto"/>
      <w:ind w:left="176" w:leftChars="0" w:firstLine="420" w:firstLineChars="200"/>
      <w:jc w:val="left"/>
    </w:pPr>
    <w:rPr>
      <w:rFonts w:hint="eastAsia" w:ascii="仿宋" w:hAnsi="Times New Roman" w:eastAsia="仿宋" w:cs="Times New Roman"/>
      <w:sz w:val="24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99"/>
    <w:rPr>
      <w:rFonts w:cs="Times New Roman"/>
      <w:b/>
      <w:bCs/>
    </w:rPr>
  </w:style>
  <w:style w:type="character" w:styleId="14">
    <w:name w:val="Emphasis"/>
    <w:basedOn w:val="12"/>
    <w:qFormat/>
    <w:uiPriority w:val="20"/>
    <w:rPr>
      <w:i/>
      <w:iCs/>
    </w:rPr>
  </w:style>
  <w:style w:type="character" w:styleId="15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正文文本缩进 Char"/>
    <w:basedOn w:val="12"/>
    <w:link w:val="3"/>
    <w:semiHidden/>
    <w:qFormat/>
    <w:uiPriority w:val="99"/>
  </w:style>
  <w:style w:type="character" w:customStyle="1" w:styleId="17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18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19">
    <w:name w:val="正文首行缩进 2 Char"/>
    <w:basedOn w:val="16"/>
    <w:link w:val="9"/>
    <w:qFormat/>
    <w:uiPriority w:val="99"/>
    <w:rPr>
      <w:rFonts w:ascii="仿宋" w:hAnsi="Times New Roman" w:eastAsia="仿宋" w:cs="Times New Roman"/>
      <w:sz w:val="24"/>
      <w:szCs w:val="24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批注框文本 Char"/>
    <w:basedOn w:val="12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2815</Words>
  <Characters>2980</Characters>
  <Lines>33</Lines>
  <Paragraphs>9</Paragraphs>
  <TotalTime>2</TotalTime>
  <ScaleCrop>false</ScaleCrop>
  <LinksUpToDate>false</LinksUpToDate>
  <CharactersWithSpaces>2981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2025-08-26T16:28:00Z</dcterms:created>
  <dc:creator>Lenovo</dc:creator>
  <cp:lastModifiedBy>聂红军</cp:lastModifiedBy>
  <cp:lastPrinted>2023-05-09T02:47:00Z</cp:lastPrinted>
  <dcterms:modified xsi:type="dcterms:W3CDTF">2026-09-08T12:58:48Z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0AEE7BA78C69459DA142DC30088E1377_13</vt:lpwstr>
  </property>
  <property fmtid="{D5CDD505-2E9C-101B-9397-08002B2CF9AE}" pid="4" name="KSOTemplateDocerSaveRecord">
    <vt:lpwstr>eyJoZGlkIjoiZTUyMWM5NTU3NmQwMzYzZGY2NjUyMjZkNDUzMDVhNDkiLCJ1c2VySWQiOiI0OTM4MTE0ODQifQ==</vt:lpwstr>
  </property>
</Properties>
</file>