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336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FF0000"/>
          <w:spacing w:val="-85"/>
          <w:sz w:val="72"/>
          <w:szCs w:val="72"/>
          <w:lang w:val="en-US" w:eastAsia="zh-CN"/>
        </w:rPr>
      </w:pPr>
      <w:r>
        <w:rPr>
          <w:rFonts w:hint="eastAsia" w:ascii="仿宋" w:hAnsi="仿宋" w:eastAsia="仿宋" w:cs="仿宋"/>
          <w:b/>
          <w:bCs/>
          <w:color w:val="FF0000"/>
          <w:spacing w:val="-85"/>
          <w:sz w:val="72"/>
          <w:szCs w:val="72"/>
          <w:lang w:val="en-US" w:eastAsia="zh-CN"/>
        </w:rPr>
        <w:t>北京建术信息科技研究院有限公司</w:t>
      </w:r>
    </w:p>
    <w:p w14:paraId="437CCF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lang w:val="en-US" w:eastAsia="zh-CN"/>
        </w:rPr>
      </w:pPr>
      <w:r>
        <w:rPr>
          <w:rFonts w:hint="eastAsia" w:ascii="仿宋" w:hAnsi="仿宋" w:eastAsia="仿宋" w:cs="仿宋"/>
          <w:sz w:val="24"/>
        </w:rPr>
        <mc:AlternateContent>
          <mc:Choice Requires="wps">
            <w:drawing>
              <wp:anchor distT="0" distB="0" distL="114300" distR="114300" simplePos="0" relativeHeight="251659264" behindDoc="0" locked="0" layoutInCell="1" allowOverlap="1">
                <wp:simplePos x="0" y="0"/>
                <wp:positionH relativeFrom="column">
                  <wp:posOffset>-802640</wp:posOffset>
                </wp:positionH>
                <wp:positionV relativeFrom="paragraph">
                  <wp:posOffset>212725</wp:posOffset>
                </wp:positionV>
                <wp:extent cx="6695440" cy="0"/>
                <wp:effectExtent l="0" t="9525" r="10160" b="15875"/>
                <wp:wrapNone/>
                <wp:docPr id="1" name="直接连接符 1"/>
                <wp:cNvGraphicFramePr/>
                <a:graphic xmlns:a="http://schemas.openxmlformats.org/drawingml/2006/main">
                  <a:graphicData uri="http://schemas.microsoft.com/office/word/2010/wordprocessingShape">
                    <wps:wsp>
                      <wps:cNvCnPr/>
                      <wps:spPr>
                        <a:xfrm>
                          <a:off x="340360" y="1774190"/>
                          <a:ext cx="6695440" cy="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_x0000_s1026" o:spid="_x0000_s1026" o:spt="20" style="position:absolute;left:0pt;margin-left:-63.2pt;margin-top:16.75pt;height:0pt;width:527.2pt;z-index:251659264;mso-width-relative:page;mso-height-relative:page;" filled="f" stroked="t" coordsize="21600,21600" o:gfxdata="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4h0LC9YAAAAKAQAADwAAAAAAAAABACAAAAAiAAAAZHJzL2Rvd25yZXYueG1sUEsBAhQA&#10;FAAAAAgAh07iQGFmAoL0AQAAvQMAAA4AAAAAAAAAAQAgAAAAJQEAAGRycy9lMm9Eb2MueG1sUEsF&#10;BgAAAAAGAAYAWQEAAIsFAAAAAA==&#10;">
                <v:fill on="f" focussize="0,0"/>
                <v:stroke weight="1.5pt" color="#FF0000 [3204]" miterlimit="8" joinstyle="miter"/>
                <v:imagedata o:title=""/>
                <o:lock v:ext="edit" aspectratio="f"/>
              </v:line>
            </w:pict>
          </mc:Fallback>
        </mc:AlternateContent>
      </w:r>
      <w:r>
        <w:rPr>
          <w:rFonts w:hint="eastAsia" w:ascii="仿宋" w:hAnsi="仿宋" w:eastAsia="仿宋" w:cs="仿宋"/>
          <w:sz w:val="24"/>
          <w:szCs w:val="24"/>
          <w:lang w:val="en-US" w:eastAsia="zh-CN"/>
        </w:rPr>
        <w:t>建术信息2026【36】号</w:t>
      </w:r>
    </w:p>
    <w:p w14:paraId="47D0173B"/>
    <w:p w14:paraId="373958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b/>
          <w:bCs/>
          <w:sz w:val="28"/>
          <w:szCs w:val="28"/>
          <w:lang w:val="en-US" w:eastAsia="zh-CN"/>
        </w:rPr>
      </w:pPr>
      <w:r>
        <w:rPr>
          <w:rFonts w:hint="eastAsia" w:ascii="仿宋" w:hAnsi="仿宋" w:eastAsia="仿宋"/>
          <w:b/>
          <w:bCs/>
          <w:sz w:val="28"/>
          <w:szCs w:val="28"/>
          <w:lang w:val="en-US" w:eastAsia="zh-CN"/>
        </w:rPr>
        <w:t>关于举办</w:t>
      </w:r>
      <w:r>
        <w:rPr>
          <w:rFonts w:ascii="仿宋" w:hAnsi="仿宋" w:eastAsia="仿宋"/>
          <w:b/>
          <w:bCs/>
          <w:sz w:val="28"/>
          <w:szCs w:val="28"/>
        </w:rPr>
        <w:t xml:space="preserve">基于 </w:t>
      </w:r>
      <w:r>
        <w:rPr>
          <w:rFonts w:hint="eastAsia" w:ascii="仿宋" w:hAnsi="仿宋" w:eastAsia="仿宋"/>
          <w:b/>
          <w:bCs/>
          <w:sz w:val="28"/>
          <w:szCs w:val="28"/>
        </w:rPr>
        <w:t>WorkBuddy</w:t>
      </w:r>
      <w:r>
        <w:rPr>
          <w:rFonts w:ascii="仿宋" w:hAnsi="仿宋" w:eastAsia="仿宋"/>
          <w:b/>
          <w:bCs/>
          <w:sz w:val="28"/>
          <w:szCs w:val="28"/>
        </w:rPr>
        <w:t xml:space="preserve"> 平台的 DeepSeek 赋能工程造价降本增效实践—实务及案例分析</w:t>
      </w:r>
      <w:r>
        <w:rPr>
          <w:rFonts w:hint="eastAsia" w:ascii="仿宋" w:hAnsi="仿宋" w:eastAsia="仿宋"/>
          <w:b/>
          <w:bCs/>
          <w:sz w:val="28"/>
          <w:szCs w:val="28"/>
          <w:lang w:val="en-US" w:eastAsia="zh-CN"/>
        </w:rPr>
        <w:t>专题培训班的通知</w:t>
      </w:r>
    </w:p>
    <w:p w14:paraId="69D3225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b/>
          <w:bCs/>
          <w:lang w:val="en-US" w:eastAsia="zh-CN"/>
        </w:rPr>
      </w:pPr>
      <w:r>
        <w:rPr>
          <w:rFonts w:hint="eastAsia" w:ascii="仿宋" w:hAnsi="仿宋" w:eastAsia="仿宋"/>
          <w:b/>
          <w:bCs/>
          <w:lang w:val="en-US" w:eastAsia="zh-CN"/>
        </w:rPr>
        <w:t>各相关单位：</w:t>
      </w:r>
    </w:p>
    <w:p w14:paraId="38C4D4CD">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仿宋" w:hAnsi="仿宋" w:eastAsia="仿宋"/>
        </w:rPr>
      </w:pPr>
      <w:r>
        <w:rPr>
          <w:rFonts w:ascii="仿宋" w:hAnsi="仿宋" w:eastAsia="仿宋"/>
        </w:rPr>
        <w:t xml:space="preserve">AI 浪潮正深度重构工程造价行业，传统零散使用 AI 工具的模式已陷入效率瓶颈，想要紧跟行业变革、打造核心竞争力，成为稀缺的 AI 原生造价人才刻不容缓。本次《基于 </w:t>
      </w:r>
      <w:r>
        <w:rPr>
          <w:rFonts w:hint="eastAsia" w:ascii="仿宋" w:hAnsi="仿宋" w:eastAsia="仿宋"/>
        </w:rPr>
        <w:t>WorkBuddy</w:t>
      </w:r>
      <w:r>
        <w:rPr>
          <w:rFonts w:ascii="仿宋" w:hAnsi="仿宋" w:eastAsia="仿宋"/>
        </w:rPr>
        <w:t xml:space="preserve"> 平台的 DeepSeek 赋能工程造价降本增效实践 —— 实务及案例分析》</w:t>
      </w:r>
      <w:r>
        <w:rPr>
          <w:rFonts w:hint="eastAsia" w:ascii="仿宋" w:hAnsi="仿宋" w:eastAsia="仿宋"/>
        </w:rPr>
        <w:t>专题</w:t>
      </w:r>
      <w:r>
        <w:rPr>
          <w:rFonts w:ascii="仿宋" w:hAnsi="仿宋" w:eastAsia="仿宋"/>
        </w:rPr>
        <w:t xml:space="preserve">培训，带你跳出碎片化 AI 使用误区，从认知破局开篇厘清 AI 时代降本增效的核心逻辑，系统学习依托 </w:t>
      </w:r>
      <w:r>
        <w:rPr>
          <w:rFonts w:hint="eastAsia" w:ascii="仿宋" w:hAnsi="仿宋" w:eastAsia="仿宋"/>
        </w:rPr>
        <w:t>WorkBuddy</w:t>
      </w:r>
      <w:r>
        <w:rPr>
          <w:rFonts w:ascii="仿宋" w:hAnsi="仿宋" w:eastAsia="仿宋"/>
        </w:rPr>
        <w:t xml:space="preserve"> 平台搭建智能体团队、封装专业技能模块、搭建专属知识库、开发自动化脚本四大核心能力</w:t>
      </w:r>
      <w:r>
        <w:rPr>
          <w:rFonts w:hint="eastAsia" w:ascii="仿宋" w:hAnsi="仿宋" w:eastAsia="仿宋"/>
        </w:rPr>
        <w:t>和</w:t>
      </w:r>
      <w:r>
        <w:rPr>
          <w:rFonts w:ascii="仿宋" w:hAnsi="仿宋" w:eastAsia="仿宋"/>
        </w:rPr>
        <w:t>降本增效的</w:t>
      </w:r>
      <w:r>
        <w:rPr>
          <w:rFonts w:hint="eastAsia" w:ascii="仿宋" w:hAnsi="仿宋" w:eastAsia="仿宋"/>
        </w:rPr>
        <w:t>具体操作</w:t>
      </w:r>
      <w:r>
        <w:rPr>
          <w:rFonts w:ascii="仿宋" w:hAnsi="仿宋" w:eastAsia="仿宋"/>
        </w:rPr>
        <w:t>，结合招标、投标、施工、竣工结算全造价流程落地实操，搭配大型公建、住宅项目及咨询团队转型等真实案例深度解析，更设置现场实操工作坊，手把手指导大家编写项目知识库、封装造价技能、编排多智能体协同作业，帮助学员掌握将个人工作标准、实操经验转化为 AI 工作体系的核心本领，完成从传统造价从业者到 AI 造价系统搭建者、数字团队指挥者的身份蜕变，大幅提升工作效率与职业竞争力，助力大家抢抓 AI 时代造价行业发展新机遇。</w:t>
      </w:r>
      <w:r>
        <w:rPr>
          <w:rFonts w:hint="eastAsia" w:ascii="仿宋" w:hAnsi="仿宋" w:eastAsia="仿宋"/>
          <w:lang w:val="en-US" w:eastAsia="zh-CN"/>
        </w:rPr>
        <w:t>特此举办</w:t>
      </w:r>
      <w:r>
        <w:rPr>
          <w:rFonts w:hint="eastAsia" w:ascii="仿宋" w:hAnsi="仿宋" w:eastAsia="仿宋"/>
          <w:sz w:val="22"/>
          <w:szCs w:val="22"/>
          <w:lang w:val="en-US" w:eastAsia="zh-CN"/>
        </w:rPr>
        <w:t>“</w:t>
      </w:r>
      <w:r>
        <w:rPr>
          <w:rFonts w:ascii="仿宋" w:hAnsi="仿宋" w:eastAsia="仿宋"/>
          <w:b/>
          <w:bCs/>
          <w:sz w:val="22"/>
          <w:szCs w:val="22"/>
        </w:rPr>
        <w:t xml:space="preserve">基于 </w:t>
      </w:r>
      <w:r>
        <w:rPr>
          <w:rFonts w:hint="eastAsia" w:ascii="仿宋" w:hAnsi="仿宋" w:eastAsia="仿宋"/>
          <w:b/>
          <w:bCs/>
          <w:sz w:val="22"/>
          <w:szCs w:val="22"/>
        </w:rPr>
        <w:t>WorkBuddy</w:t>
      </w:r>
      <w:r>
        <w:rPr>
          <w:rFonts w:ascii="仿宋" w:hAnsi="仿宋" w:eastAsia="仿宋"/>
          <w:b/>
          <w:bCs/>
          <w:sz w:val="22"/>
          <w:szCs w:val="22"/>
        </w:rPr>
        <w:t xml:space="preserve"> 平台的 DeepSeek 赋能工程造价降本增效实践—实务及案例分析</w:t>
      </w:r>
      <w:r>
        <w:rPr>
          <w:rFonts w:hint="eastAsia" w:ascii="仿宋" w:hAnsi="仿宋" w:eastAsia="仿宋"/>
          <w:b/>
          <w:bCs/>
          <w:sz w:val="22"/>
          <w:szCs w:val="22"/>
          <w:lang w:val="en-US" w:eastAsia="zh-CN"/>
        </w:rPr>
        <w:t>专题培训班”，</w:t>
      </w:r>
      <w:r>
        <w:rPr>
          <w:rFonts w:hint="eastAsia" w:ascii="仿宋" w:hAnsi="仿宋" w:eastAsia="仿宋"/>
          <w:b w:val="0"/>
          <w:bCs w:val="0"/>
          <w:sz w:val="22"/>
          <w:szCs w:val="22"/>
          <w:lang w:val="en-US" w:eastAsia="zh-CN"/>
        </w:rPr>
        <w:t>现将有相关事项通知如下：</w:t>
      </w:r>
    </w:p>
    <w:p w14:paraId="722490E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b/>
          <w:bCs/>
        </w:rPr>
      </w:pPr>
      <w:r>
        <w:rPr>
          <w:rFonts w:hint="eastAsia" w:ascii="仿宋" w:hAnsi="仿宋" w:eastAsia="仿宋"/>
          <w:b/>
          <w:bCs/>
        </w:rPr>
        <w:t>（一）培训内容</w:t>
      </w:r>
    </w:p>
    <w:p w14:paraId="64B105C0">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b/>
          <w:bCs/>
        </w:rPr>
      </w:pPr>
      <w:r>
        <w:rPr>
          <w:rFonts w:ascii="仿宋" w:hAnsi="仿宋" w:eastAsia="仿宋"/>
          <w:b/>
          <w:bCs/>
        </w:rPr>
        <w:t>第一部分：认知破局 ——AI 时代工程造价行业正在发生什么</w:t>
      </w:r>
    </w:p>
    <w:p w14:paraId="76367DA0">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一、行业变局：工程造价领域的 AI 冲击已来</w:t>
      </w:r>
    </w:p>
    <w:p w14:paraId="237E4C07">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大语言模型正深度渗透知识密集型行业，工程造价高度依赖规范条文、计量规则与经验判断，正处于 AI 重构的前沿地带。本次变革并非传统信息化工具升级，而是从根本上改变造价工作的组织方式与价值创造逻辑：从单人单线程手工操作，跃迁为一人依托 WorkBuddy 平台指挥层级化智能体团队并行作业的全新模式，由主智能体统筹全局调度，子智能体分工执行细分任务，形成体系化、可指挥的 AI 造价工作组织。</w:t>
      </w:r>
    </w:p>
    <w:p w14:paraId="3F376768">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rPr>
      </w:pPr>
      <w:r>
        <w:rPr>
          <w:rFonts w:ascii="仿宋" w:hAnsi="仿宋" w:eastAsia="仿宋"/>
          <w:b/>
          <w:bCs/>
        </w:rPr>
        <w:t>二、认知陷阱：为什么 "会用 AI" 的人正在被淘汰</w:t>
      </w:r>
    </w:p>
    <w:p w14:paraId="4B86E9D5">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当前从业者普遍陷入 “AI 工具糊化” 误区：在多个 AI 工具间反复切换、碎片化交互，看似高频使用 AI，实则效率未实现实质性提升，精力被分散的交互消耗，反而丧失深度思考与系统判断能力。</w:t>
      </w:r>
    </w:p>
    <w:p w14:paraId="11C55D2F">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真正的职业风险并非完全不会用 AI，而是停留在低水平重复操作的伪熟练状态。行业已出现结构性人才需求变化：企业高薪争夺的并非算法工程师或大模型研究员，而是能将自身经验、判断与工作方法注入层级化智能体体系，实现个人能力批量复制的 AI 原生人才。</w:t>
      </w:r>
    </w:p>
    <w:p w14:paraId="5B948E84">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rPr>
      </w:pPr>
      <w:r>
        <w:rPr>
          <w:rFonts w:ascii="仿宋" w:hAnsi="仿宋" w:eastAsia="仿宋"/>
          <w:b/>
          <w:bCs/>
        </w:rPr>
        <w:t>三、重新定义：什么才是真正的 AI 原生造价人才</w:t>
      </w:r>
    </w:p>
    <w:p w14:paraId="6D2C51DD">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AI 原生造价人才与普通 AI 用户的核心区别在于：普通用户是单次性调用 AI 完成零散任务，每次需重新描述需求；而 AI 原生人才是在 WorkBuddy 平台搭建长期运行、持续进化的层级化 AI 造价组织 —— 主智能体负责任务拆解、调度与成果校验，子智能体各司其职完成专业执行，配套技能库、知识库与脚本形成完整工作系统。</w:t>
      </w:r>
    </w:p>
    <w:p w14:paraId="584D8B69">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大模型本身不具备具象业务判断能力，无法精准匹配项目的业务规则、风险边界与决策标准。WorkBuddy 的价值在于为个人经验的系统化沉淀提供载体，将造价人员的业务逻辑、风险判断、决策标准注入智能体协作体系。本培训核心命题：未来核心竞争力是构建层级化 AI 造价组织的能力，而非单一工具的使用技巧。</w:t>
      </w:r>
    </w:p>
    <w:p w14:paraId="31EA2C5D">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b/>
          <w:bCs/>
        </w:rPr>
      </w:pPr>
      <w:r>
        <w:rPr>
          <w:rFonts w:ascii="仿宋" w:hAnsi="仿宋" w:eastAsia="仿宋"/>
          <w:b/>
          <w:bCs/>
        </w:rPr>
        <w:t>第二部分：平台认知 ——WorkBuddy：你的 AI 造价系统基座</w:t>
      </w:r>
    </w:p>
    <w:p w14:paraId="7FB4B0DE">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rPr>
      </w:pPr>
      <w:r>
        <w:rPr>
          <w:rFonts w:ascii="仿宋" w:hAnsi="仿宋" w:eastAsia="仿宋"/>
          <w:b/>
          <w:bCs/>
        </w:rPr>
        <w:t>四、WorkBuddy 平台全景：承载层级化 AI 造价组织的完整底座</w:t>
      </w:r>
    </w:p>
    <w:p w14:paraId="51F2209F">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WorkBuddy 是腾讯云推出的 AI 智能体桌面工作台，定位为构建 AI 工作系统的操作系统，而非单一对话式工具，具备六大核心能力：一是层级化多智能体协作，支持主智能体调度子智能体的树状任务派发体系；二是技能模块系统，以 SKILL.md 封装专业流程与最佳实践；三是多形态知识库接入，兼容本地、云端部署，适配数据安全与效率需求；四是脚本自动化，集成 Python/Shell 脚本处理重复性任务；五是 MCP 协议扩展，可对接外部工具与数据源；六是定时自动化工作流，支撑周期性任务自动执行。用户在平台搭建的智能体体系、技能库、知识库与脚本，是核心个人资产。</w:t>
      </w:r>
    </w:p>
    <w:p w14:paraId="50DA43DC">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五、WorkBuddy 智能体层级体系：主智能体调度与子智能体执行的分工协作</w:t>
      </w:r>
    </w:p>
    <w:p w14:paraId="606A2F6E">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层级化体系的核心是具备指挥链的任务分解协作机制，而非多智能体简单并列。主智能体承担造价团队负责人角色：负责任务结构分析、子任务拆解派发、成果汇总校验、冲突裁决与最终质量把关。子智能体对应专业造价工程师：在职责边界内独立完成细分任务，按标准格式上报，超出权限时主动提请裁决。</w:t>
      </w:r>
    </w:p>
    <w:p w14:paraId="64AA6700">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层级配置上，一级子智能体按土建、装饰、安装、市政等专业划分，二级子智能体可进一步细分至给排水、暖通、电气等细分方向，确保职责边界清晰。主副智能体的协作需明确任务派发、成果上报、异常上报三类接口规范，通过逐级拆解让每个智能体聚焦边界清晰的小任务，配合主智能体的跨专业交叉校验，输出质量远高于通用单智能体。</w:t>
      </w:r>
    </w:p>
    <w:p w14:paraId="783E553F">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rPr>
      </w:pPr>
      <w:r>
        <w:rPr>
          <w:rFonts w:ascii="仿宋" w:hAnsi="仿宋" w:eastAsia="仿宋"/>
          <w:b/>
          <w:bCs/>
        </w:rPr>
        <w:t>六、WorkBuddy 技能模块：将造价专业能力封装为 SKILL.md 并分层挂载</w:t>
      </w:r>
    </w:p>
    <w:p w14:paraId="0A594175">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技能模块以 SKILL.md 为核心载体，采用 YAML 前言 + Markdown 指令结构，完整定义技能的适用场景、输入输出、处理逻辑与校验规则，可配套脚本、参考文档与模板资源。</w:t>
      </w:r>
    </w:p>
    <w:p w14:paraId="1D30EAD1">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挂载策略遵循层级差异：主智能体挂载调度控制类技能，包括任务分析拆解、子智能体调度、成果汇总与冲突检测、质量综合评判；子智能体挂载专业执行类技能，覆盖编制、审核、分析、查询四大类方向，如清单编制、单价审核、指标分析、定额检索等。技能编写需嵌入层级协作逻辑，明确子智能体的上报触发条件与主智能体的裁决优先级，支持个人与团队共享技能库，实现模块化能力迭代。</w:t>
      </w:r>
    </w:p>
    <w:p w14:paraId="78AD0813">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七、WorkBuddy 知识库：分层支撑主智能体决策与子智能体执行</w:t>
      </w:r>
    </w:p>
    <w:p w14:paraId="211BAAEE">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主智能体与子智能体的知识需求存在本质差异：主智能体依赖全局性知识，如合同结构、全流程标准、专业接口规范；子智能体依赖本专业深度知识，如定额规则、价格数据、处理细则。</w:t>
      </w:r>
    </w:p>
    <w:p w14:paraId="3D7920D6">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WorkBuddy 支持本地、云端、内置数据库三种部署方案，对应不同数据敏感度需求。知识库采用三层架构：全局层面向主智能体，涵盖合同规则、流程标准、接口定义、甲方偏好等；专业层面向子智能体，按专业收纳规范、定额、价格、历史案例等；个人经验层横跨两级，沉淀个人决策原则与经验规则。知识库调用遵循层级匹配原则，异常情况由主智能体统筹更新，实现分层维护、动态互通。</w:t>
      </w:r>
    </w:p>
    <w:p w14:paraId="6AED8A4E">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八、WorkBuddy 脚本与自动化：串联工作流，释放智能体算力</w:t>
      </w:r>
    </w:p>
    <w:p w14:paraId="35DFC700">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遵循 “能用脚本不用 AI” 的效率原则，将确定性规则类工作交由脚本处理，让智能体聚焦高价值判断环节。</w:t>
      </w:r>
    </w:p>
    <w:p w14:paraId="64E21DCB">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脚本分为三类应用场景：一是任务预处理与分流脚本，如招标文件信息提取、变更签证自动分类，减轻主智能体信息处理负担；二是执行辅助与校验脚本，如清单算术关系校验、定额编码格式检查，提前过滤低级错误；三是成果汇总与报告生成脚本，如多专业清单合并、审核意见归类，减少主智能体机械性工作。此外，定时自动化工作流可独立运行政策更新、状态报告、价格异动监测等周期性任务，结果自动汇入知识库支撑智能体调用。</w:t>
      </w:r>
    </w:p>
    <w:p w14:paraId="519DE9EF">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b/>
          <w:bCs/>
        </w:rPr>
      </w:pPr>
      <w:r>
        <w:rPr>
          <w:rFonts w:ascii="仿宋" w:hAnsi="仿宋" w:eastAsia="仿宋"/>
          <w:b/>
          <w:bCs/>
        </w:rPr>
        <w:t>第三部分：工具落地 ——WorkBuddy+DeepSeek 造价全过程层级化实务</w:t>
      </w:r>
    </w:p>
    <w:p w14:paraId="322452F6">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九、招标阶段的主智能体调度与子智能体协同实务</w:t>
      </w:r>
    </w:p>
    <w:p w14:paraId="368F78BD">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招标阶段造价工作围绕清单编制、控制价编制、招标文件编制展开，全流程由主智能体统筹拆解任务，子智能体并行执行。</w:t>
      </w:r>
    </w:p>
    <w:p w14:paraId="3917CE8A">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工程量清单编制环节：主智能体将总任务按专业拆解派发至对应子智能体，大型项目可细分至二级子智能体；各子智能体调用清单编制技能，依托专业知识库与图纸提取脚本并行生成初稿；主智能体汇总后调用完整性审核技能与接口检查脚本，排查遗漏、重复与专业接口矛盾，标注问题后交由人工重点复核。</w:t>
      </w:r>
    </w:p>
    <w:p w14:paraId="615B62D7">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招标控制价编制环节：各专业组价子智能体调用定额套用与单价分析技能，依托定额与信息价库并行完成编制，主智能体开展整体价格偏差检测，标注异常项。</w:t>
      </w:r>
    </w:p>
    <w:p w14:paraId="09EBC2BA">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招标文件编制环节：合同分析子智能体调用条款审查技能，生成专用条款草稿与风险标注。全流程中，专业接口裁决、价格水平确认、风险条款判断为人工必介入的关键决策节点。</w:t>
      </w:r>
    </w:p>
    <w:p w14:paraId="349A0D46">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十、投标阶段的主智能体调度与子智能体协同实务</w:t>
      </w:r>
    </w:p>
    <w:p w14:paraId="14FBF6A5">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投标阶段时效性强、多专业并行、策略性要求高，适配层级化并行作业模式。</w:t>
      </w:r>
    </w:p>
    <w:p w14:paraId="2131E4F8">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招标文件解读环节：主智能体将任务同步派发至合同分析与清单分析子智能体，前者提取计价相关条款、识别风险陷阱与疑义点，后者分析清单特征、识别不平衡报价机会与歧义项，主智能体汇总形成解读报告。</w:t>
      </w:r>
    </w:p>
    <w:p w14:paraId="1229CD72">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投标报价策略环节：报价策略子智能体调用不平衡报价模拟与成本测算技能，结合历史中标与企业成本数据库，生成多方案对比分析供决策参考。</w:t>
      </w:r>
    </w:p>
    <w:p w14:paraId="68BB4F99">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投标文件编制环节：各专业子智能体并行生成已标价清单，主智能体调度校验脚本完成逻辑核查与成果整合。需明确：报价最终决策权归属人工，主副智能体仅提供分析建议，市场与竞争判断为人工专属决策领域。</w:t>
      </w:r>
    </w:p>
    <w:p w14:paraId="74E9A1D5">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十一、施工阶段的层级化动态造价管理实务</w:t>
      </w:r>
    </w:p>
    <w:p w14:paraId="41F24EE2">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施工阶段变更频繁、时效性强、涉及主体多，层级化体系可实现快速响应与动态调度。</w:t>
      </w:r>
    </w:p>
    <w:p w14:paraId="07C8FA2A">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合同价款调整环节：合同分析子智能体先依据合同条款与法规完成调价条件初步判断，符合条件则由计价子智能体测算金额并验证合理性，主智能体汇总生成调价意见书，标注不确定项供人工决策。</w:t>
      </w:r>
    </w:p>
    <w:p w14:paraId="4431CA5D">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变更签证审核为核心应用场景，采用五级流程：脚本自动分类分流变更申请；各专业子智能体并行开展合规性与计价合理性初审，标注问题；主智能体汇总成果，开展跨专业关联分析，识别单一专业无法发现的关联风险；人工复核异常项并最终裁定；审核结果同步更新至知识库实现系统进化。进度款审核、材料价格调整均遵循同类层级化流程。</w:t>
      </w:r>
    </w:p>
    <w:p w14:paraId="452D38F6">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十二、竣工结算阶段的层级化协同实务</w:t>
      </w:r>
    </w:p>
    <w:p w14:paraId="72EF13C6">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竣工结算数据量大、周期长、专业覆盖广，单智能体无法保障质量，层级化模式可实现复杂任务的可控拆解。</w:t>
      </w:r>
    </w:p>
    <w:p w14:paraId="58D68E09">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全流程分为四个层级：一是任务拆解，主智能体将结算工作拆分为资料归集、各专业结算编制、结算审核、报告编制等子任务；二是并行执行，资料归集子智能体先完成资料完备性检查，各专业结算编制子智能体同步启动，依托合同条款与历史数据完成各专业结算初稿；三是汇总审核，主智能体完成数据整合后，调度各专业审核子智能体量价核对，再开展跨专业冲突检测与关联分析；四是人工复核与报告生成，人工确认异常与关联问题后，主智能体整合生成完整结算审核报告。层级化模式的核心价值在于通过专业分工与全局统筹，解决单智能体无法覆盖的跨周期、跨专业复杂问题。</w:t>
      </w:r>
    </w:p>
    <w:p w14:paraId="3A13D9E5">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b/>
          <w:bCs/>
        </w:rPr>
      </w:pPr>
      <w:r>
        <w:rPr>
          <w:rFonts w:ascii="仿宋" w:hAnsi="仿宋" w:eastAsia="仿宋"/>
          <w:b/>
          <w:bCs/>
        </w:rPr>
        <w:t>第四部分：案例分析 ——WorkBuddy 层级化智能体赋能造价真实场景</w:t>
      </w:r>
    </w:p>
    <w:p w14:paraId="269AEBE0">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十三、案例一：某大型公建项目清单编制全流程</w:t>
      </w:r>
    </w:p>
    <w:p w14:paraId="2057C75E">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项目为多专业大型公建，清单项超三千条，编制工期紧张。项目搭建三级层级体系：顶层清单主控智能体负责任务拆解与全局校验，一级拆分为土建、安装两大方向，二级细分至建筑、结构、给排水、暖通等细分专业子智能体，各子智能体挂载清单生成与特征标准化技能，配套图纸提取与格式校验脚本。</w:t>
      </w:r>
    </w:p>
    <w:p w14:paraId="62883691">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运行中，脚本先提取图纸结构化信息，主控智能体按专业派发任务，跨专业项标注后多智能体协同编制；各级智能体逐级汇总校验，主控智能体最终识别出预埋件等专业接口的遗漏与描述不一致问题。实战中人工复核工作量较传统模式压缩超 90%，工期显著缩短。核心启示：跨专业接口管理是清单品质关键，主智能体的统筹能力是单智能体模式不具备的核心优势。</w:t>
      </w:r>
    </w:p>
    <w:p w14:paraId="1EA23537">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十四、案例二：某大型住宅项目全过程变更签证管理</w:t>
      </w:r>
    </w:p>
    <w:p w14:paraId="4FE03EF8">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项目为三十万平住宅项目，变更签证超两百份，甲方要求 7 日内出具审核意见，时效压力大且跨专业关联变更多。项目搭建分层知识库、差异化技能模块与五级审核体系，配套分类分流、进度预警、成果汇总三类脚本。</w:t>
      </w:r>
    </w:p>
    <w:p w14:paraId="68DC8E93">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运行实效：单份变更平均审核周期从 5 天缩短至 1.5 天，系统可自动标注工程量存疑、单价异常等问题，主智能体可识别出土建与安装变更的交叉计量风险等跨专业关联问题。核心经验：AI 承担筛查与标注工作，关键技术与商业判断仍由人工完成，是合理的辅助审核模式；层级化架构的独特价值在于全局视角的跨专业关联分析能力。</w:t>
      </w:r>
    </w:p>
    <w:p w14:paraId="70569F7A">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十五、案例三：造价咨询团队的层级化 AI 组织转型实录</w:t>
      </w:r>
    </w:p>
    <w:p w14:paraId="4630F1BF">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某十几人规模造价咨询团队，转型前零散使用 AI 工具，整体效率提升不足 10%，核心痛点是经验未系统化沉淀、成果缺乏统筹整合机制。团队通过四阶段完成转型：一是认知觉醒，确立 “人指挥 AI 组织” 的模式，选定 WorkBuddy 作为基座；二是知识外化，梳理专业工作流程，搭建主智能体 + 多层级子智能体的组织架构，沉淀分层知识库与核心技能模块；三是试运行打磨，通过历史项目反向测试，三轮迭代优化任务拆解与执行逻辑；四是正式运转，团队角色从执行者转变为标准制定者与决策者，项目结束后持续优化体系实现能力进化。</w:t>
      </w:r>
    </w:p>
    <w:p w14:paraId="5EB711EA">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转型后团队效率与成果质量显著提升，核心结论：转型的核心是认知跃迁 —— 从零散使用 AI 工具，转向系统化构建层级化 AI 造价组织，实现人在顶层决策、智能体分层执行的协作模式。</w:t>
      </w:r>
    </w:p>
    <w:p w14:paraId="30371C92">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b/>
          <w:bCs/>
        </w:rPr>
      </w:pPr>
      <w:r>
        <w:rPr>
          <w:rFonts w:ascii="仿宋" w:hAnsi="仿宋" w:eastAsia="仿宋"/>
          <w:b/>
          <w:bCs/>
        </w:rPr>
        <w:t>第五部分：实务工作坊 —— 动手构建层级化 AI 造价组织</w:t>
      </w:r>
    </w:p>
    <w:p w14:paraId="4D4FC95B">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rPr>
      </w:pPr>
      <w:r>
        <w:rPr>
          <w:rFonts w:ascii="仿宋" w:hAnsi="仿宋" w:eastAsia="仿宋"/>
          <w:b/>
          <w:bCs/>
        </w:rPr>
        <w:t>十六、现场演练一：手写造价工作手册并封装为技能模块</w:t>
      </w:r>
    </w:p>
    <w:p w14:paraId="08EC8A5E">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演练目标是将个人经验转化为可被 AI 执行的标准化技能。学员选定自身高频造价任务，从流程、标准、经验、边界、偏好五个维度编写工作手册：流程拆解为不超 10 个关键步骤并明确输入输出；标准设定各环节验收条件；经验沉淀专属易错点与注意事项；边界明确人工必决策环节；偏好梳理单位与甲方的特殊要求。经互评点评后，学员在 WorkBuddy 编写 SKILL.md 文件，定义技能规则与校验逻辑，重点设置子智能体的上报触发条件，配套相关资源文件，完成首个技能模块搭建。</w:t>
      </w:r>
    </w:p>
    <w:p w14:paraId="7584F79C">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十七、现场演练二：构建分层知识库并配置第一个子智能体</w:t>
      </w:r>
    </w:p>
    <w:p w14:paraId="091C161C">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演练分为知识库构建与子智能体配置两部分。知识库环节，学员梳理对应任务的知识资源，按全局知识、专业知识、个人经验分层整理，选择适配的部署方案并完成结构化索引，接入平台知识检索体系。子智能体环节，学员编写角色说明书，明确职责范围、能力边界、输出格式、上报条件与从属关系，挂载已创建的技能模块与专业知识库，通过单任务测试验证输出质量，记录优化方向，讲师集中点评配置问题。</w:t>
      </w:r>
    </w:p>
    <w:p w14:paraId="1588DC28">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十八、现场演练三：搭建主副智能体层级化协作简版工作流</w:t>
      </w:r>
    </w:p>
    <w:p w14:paraId="3E72B5E9">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以小型项目清单编制 + 自审核为模拟场景，搭建最简层级体系：1 个清单主控智能体 + 清单生成、清单审核 2 个子智能体，形成 “拆解派发 — 编制执行 — 审核校验 — 汇总决策” 的闭环。学员分别编写三个智能体的角色说明书，明确主智能体的拆解汇总职责、子智能体的执行与上报规则。实际运行流程后，接入知识库与校验脚本优化效果，引导学员总结任务拆解、接口定义、触发条件设置等核心难点，讲师完成层级化认知的总结升华。</w:t>
      </w:r>
    </w:p>
    <w:p w14:paraId="51B97B25">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b/>
          <w:bCs/>
        </w:rPr>
      </w:pPr>
      <w:r>
        <w:rPr>
          <w:rFonts w:ascii="仿宋" w:hAnsi="仿宋" w:eastAsia="仿宋"/>
          <w:b/>
          <w:bCs/>
        </w:rPr>
        <w:t>第六部分：总结与展望 —— 成为 AI 时代的造价超级个体</w:t>
      </w:r>
    </w:p>
    <w:p w14:paraId="53B60991">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十九、核心思想回顾与能力进阶路径</w:t>
      </w:r>
    </w:p>
    <w:p w14:paraId="0999D253">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六大核心认知：一是低水平 AI 操作比不会用 AI 更具职业风险；二是 AI 原生人才的核心是构建层级化 AI 造价组织，而非使用工具；三是个人沉淀的工作手册、知识库与组织体系是核心竞争壁垒；四是平台是基座，自建的层级化组织才是核心资产；五是层级化体系具备全局统筹与跨专业分析能力，与多智能体简单并列有本质区别；六是未来竞争力源于将个人能力复制给 AI 的能力。</w:t>
      </w:r>
    </w:p>
    <w:p w14:paraId="6D267B0A">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进阶路径分为四阶段：第一阶段，从单一任务切入，完成首个技能、知识库与子智能体搭建；第二阶段，配置简易主智能体，跑通最小层级化闭环；第三阶段，扩展专业覆盖面，构建多层级子智能体网络与完整知识库，形成全流程层级化组织；第四阶段，在项目实践中持续迭代优化，实现体系能力的持续进化。</w:t>
      </w:r>
    </w:p>
    <w:p w14:paraId="784B1402">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仿宋" w:hAnsi="仿宋" w:eastAsia="仿宋"/>
          <w:b/>
          <w:bCs/>
        </w:rPr>
      </w:pPr>
      <w:r>
        <w:rPr>
          <w:rFonts w:ascii="仿宋" w:hAnsi="仿宋" w:eastAsia="仿宋"/>
          <w:b/>
          <w:bCs/>
        </w:rPr>
        <w:t>二十、互动研讨与前瞻思考</w:t>
      </w:r>
    </w:p>
    <w:p w14:paraId="734B87C9">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环节先针对学员实际 AI 应用难题进行现场解答与演示，再围绕核心议题展开研讨：AI 时代造价从业者的不可替代核心能力；层级化智能体积累是否会形成行业新竞争壁垒；层级化模式对行业组织形态、人才结构与竞争格局的深层影响；层级体系中最具稀缺性的能力层级与个人精力投入方向。</w:t>
      </w:r>
    </w:p>
    <w:p w14:paraId="33A51BFD">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仿宋" w:hAnsi="仿宋" w:eastAsia="仿宋"/>
        </w:rPr>
      </w:pPr>
      <w:r>
        <w:rPr>
          <w:rFonts w:ascii="仿宋" w:hAnsi="仿宋" w:eastAsia="仿宋"/>
        </w:rPr>
        <w:t>培训最终传递核心理念：未来的核心竞争力并非个人埋头干活的能力，而是将经验与能力复制给 AI 的能力。在 WorkBuddy 平台搭建完整的层级化 AI 造价组织，实现从 “一个人” 到 “一支队伍” 的转变，是造价人应对行业变革的核心路径。</w:t>
      </w:r>
    </w:p>
    <w:p w14:paraId="11B2388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b/>
          <w:bCs/>
        </w:rPr>
      </w:pPr>
      <w:r>
        <w:rPr>
          <w:rFonts w:hint="eastAsia" w:ascii="仿宋" w:hAnsi="仿宋" w:eastAsia="仿宋"/>
          <w:b/>
          <w:bCs/>
        </w:rPr>
        <w:t>（二）培训对象</w:t>
      </w:r>
    </w:p>
    <w:p w14:paraId="7D2E8979">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仿宋" w:hAnsi="仿宋" w:eastAsia="仿宋"/>
        </w:rPr>
      </w:pPr>
      <w:r>
        <w:rPr>
          <w:rFonts w:ascii="仿宋" w:hAnsi="仿宋" w:eastAsia="仿宋"/>
        </w:rPr>
        <w:t xml:space="preserve">  工程造价咨询、审计、招标代理从业人员及管理人员 </w:t>
      </w:r>
    </w:p>
    <w:p w14:paraId="7D5CD446">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仿宋" w:hAnsi="仿宋" w:eastAsia="仿宋"/>
        </w:rPr>
      </w:pPr>
      <w:r>
        <w:rPr>
          <w:rFonts w:ascii="仿宋" w:hAnsi="仿宋" w:eastAsia="仿宋"/>
        </w:rPr>
        <w:t xml:space="preserve">  施工、房地产、建设单位造价工程师、预算员、成本管控专员 </w:t>
      </w:r>
    </w:p>
    <w:p w14:paraId="6D48823B">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仿宋" w:hAnsi="仿宋" w:eastAsia="仿宋"/>
        </w:rPr>
      </w:pPr>
      <w:r>
        <w:rPr>
          <w:rFonts w:ascii="仿宋" w:hAnsi="仿宋" w:eastAsia="仿宋"/>
        </w:rPr>
        <w:t xml:space="preserve">  造价企业负责人、部门主管、团队管理者，希望借助 AI 提升团队整体产能 </w:t>
      </w:r>
    </w:p>
    <w:p w14:paraId="11B8F49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仿宋" w:hAnsi="仿宋" w:eastAsia="仿宋"/>
        </w:rPr>
      </w:pPr>
      <w:r>
        <w:rPr>
          <w:rFonts w:ascii="仿宋" w:hAnsi="仿宋" w:eastAsia="仿宋"/>
        </w:rPr>
        <w:t xml:space="preserve">  长期使用各类 AI 工具，但效率提升有限，想摆脱碎片化操作的造价从业者 </w:t>
      </w:r>
    </w:p>
    <w:p w14:paraId="7F8B1E23">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仿宋" w:hAnsi="仿宋" w:eastAsia="仿宋"/>
        </w:rPr>
      </w:pPr>
      <w:r>
        <w:rPr>
          <w:rFonts w:ascii="仿宋" w:hAnsi="仿宋" w:eastAsia="仿宋"/>
        </w:rPr>
        <w:t xml:space="preserve">  工程造价相关院校师生、行业新人，希望掌握前沿 AI 造价实操技能 </w:t>
      </w:r>
    </w:p>
    <w:p w14:paraId="17101F27">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仿宋" w:hAnsi="仿宋" w:eastAsia="仿宋"/>
        </w:rPr>
      </w:pPr>
      <w:r>
        <w:rPr>
          <w:rFonts w:ascii="仿宋" w:hAnsi="仿宋" w:eastAsia="仿宋"/>
        </w:rPr>
        <w:t>  有意搭建企业 / 个人专属 AI 造价工作体系，打造职业核心优势的行业人员</w:t>
      </w:r>
    </w:p>
    <w:p w14:paraId="7D80232F">
      <w:pPr>
        <w:spacing w:line="400" w:lineRule="exact"/>
        <w:ind w:right="84" w:rightChars="38"/>
        <w:jc w:val="both"/>
        <w:rPr>
          <w:rFonts w:ascii="宋体" w:hAnsi="宋体" w:eastAsia="仿宋" w:cs="宋体"/>
          <w:b/>
          <w:bCs/>
          <w:color w:val="000000"/>
          <w:spacing w:val="2"/>
          <w:sz w:val="24"/>
        </w:rPr>
      </w:pPr>
      <w:r>
        <w:rPr>
          <w:rFonts w:hint="eastAsia" w:ascii="宋体" w:hAnsi="宋体" w:eastAsia="仿宋" w:cs="宋体"/>
          <w:b/>
          <w:bCs/>
          <w:color w:val="000000"/>
          <w:spacing w:val="2"/>
          <w:sz w:val="24"/>
          <w:lang w:val="en-US" w:eastAsia="zh-CN"/>
        </w:rPr>
        <w:t>三、</w:t>
      </w:r>
      <w:r>
        <w:rPr>
          <w:rFonts w:hint="eastAsia" w:ascii="宋体" w:hAnsi="宋体" w:eastAsia="仿宋" w:cs="宋体"/>
          <w:b/>
          <w:bCs/>
          <w:color w:val="000000"/>
          <w:spacing w:val="2"/>
          <w:sz w:val="24"/>
        </w:rPr>
        <w:t>地点时间</w:t>
      </w:r>
    </w:p>
    <w:p w14:paraId="0167EAC1">
      <w:pPr>
        <w:keepNext w:val="0"/>
        <w:keepLines w:val="0"/>
        <w:pageBreakBefore w:val="0"/>
        <w:widowControl w:val="0"/>
        <w:kinsoku/>
        <w:wordWrap/>
        <w:overflowPunct/>
        <w:topLinePunct w:val="0"/>
        <w:autoSpaceDE/>
        <w:autoSpaceDN/>
        <w:bidi w:val="0"/>
        <w:adjustRightInd/>
        <w:snapToGrid/>
        <w:spacing w:line="400" w:lineRule="exact"/>
        <w:ind w:right="84" w:rightChars="38" w:firstLine="488" w:firstLineChars="200"/>
        <w:jc w:val="both"/>
        <w:textAlignment w:val="auto"/>
        <w:rPr>
          <w:rFonts w:hint="eastAsia" w:ascii="仿宋" w:hAnsi="仿宋" w:eastAsia="仿宋" w:cs="仿宋"/>
          <w:color w:val="000000"/>
          <w:spacing w:val="2"/>
          <w:sz w:val="24"/>
          <w:lang w:val="en-US" w:eastAsia="zh-CN"/>
        </w:rPr>
      </w:pPr>
      <w:r>
        <w:rPr>
          <w:rFonts w:hint="eastAsia" w:ascii="仿宋" w:hAnsi="仿宋" w:eastAsia="仿宋" w:cs="仿宋"/>
          <w:color w:val="000000"/>
          <w:spacing w:val="2"/>
          <w:sz w:val="24"/>
          <w:lang w:val="en-US" w:eastAsia="zh-CN"/>
        </w:rPr>
        <w:t>2026年09月17日-19日  （17日全天报到）  乌鲁木齐市</w:t>
      </w:r>
    </w:p>
    <w:p w14:paraId="2D1E9A6D">
      <w:pPr>
        <w:keepNext w:val="0"/>
        <w:keepLines w:val="0"/>
        <w:pageBreakBefore w:val="0"/>
        <w:widowControl w:val="0"/>
        <w:kinsoku/>
        <w:wordWrap/>
        <w:overflowPunct/>
        <w:topLinePunct w:val="0"/>
        <w:autoSpaceDE/>
        <w:autoSpaceDN/>
        <w:bidi w:val="0"/>
        <w:adjustRightInd/>
        <w:snapToGrid/>
        <w:spacing w:line="400" w:lineRule="exact"/>
        <w:ind w:right="84" w:rightChars="38" w:firstLine="488" w:firstLineChars="200"/>
        <w:jc w:val="both"/>
        <w:textAlignment w:val="auto"/>
        <w:rPr>
          <w:rFonts w:hint="eastAsia" w:ascii="仿宋" w:hAnsi="仿宋" w:eastAsia="仿宋" w:cs="仿宋"/>
          <w:color w:val="000000"/>
          <w:spacing w:val="2"/>
          <w:sz w:val="24"/>
          <w:lang w:val="en-US" w:eastAsia="zh-CN"/>
        </w:rPr>
      </w:pPr>
      <w:r>
        <w:rPr>
          <w:rFonts w:hint="eastAsia" w:ascii="仿宋" w:hAnsi="仿宋" w:eastAsia="仿宋" w:cs="仿宋"/>
          <w:color w:val="000000"/>
          <w:spacing w:val="2"/>
          <w:sz w:val="24"/>
          <w:lang w:val="en-US" w:eastAsia="zh-CN"/>
        </w:rPr>
        <w:t>2026年09月20日-22日  （20日全天报到）  太原市</w:t>
      </w:r>
    </w:p>
    <w:p w14:paraId="12180925">
      <w:pPr>
        <w:keepNext w:val="0"/>
        <w:keepLines w:val="0"/>
        <w:pageBreakBefore w:val="0"/>
        <w:widowControl w:val="0"/>
        <w:kinsoku/>
        <w:wordWrap/>
        <w:overflowPunct/>
        <w:topLinePunct w:val="0"/>
        <w:autoSpaceDE/>
        <w:autoSpaceDN/>
        <w:bidi w:val="0"/>
        <w:adjustRightInd/>
        <w:snapToGrid/>
        <w:spacing w:line="400" w:lineRule="exact"/>
        <w:ind w:right="84" w:rightChars="38" w:firstLine="488" w:firstLineChars="200"/>
        <w:jc w:val="both"/>
        <w:textAlignment w:val="auto"/>
        <w:rPr>
          <w:rFonts w:hint="eastAsia" w:ascii="仿宋" w:hAnsi="仿宋" w:eastAsia="仿宋" w:cs="仿宋"/>
          <w:color w:val="000000"/>
          <w:spacing w:val="2"/>
          <w:sz w:val="24"/>
          <w:lang w:val="en-US" w:eastAsia="zh-CN"/>
        </w:rPr>
      </w:pPr>
      <w:r>
        <w:rPr>
          <w:rFonts w:hint="eastAsia" w:ascii="仿宋" w:hAnsi="仿宋" w:eastAsia="仿宋" w:cs="仿宋"/>
          <w:color w:val="000000"/>
          <w:spacing w:val="2"/>
          <w:sz w:val="24"/>
          <w:lang w:val="en-US" w:eastAsia="zh-CN"/>
        </w:rPr>
        <w:t>2026年10月29日-31日  （29日全天报到）  广州市</w:t>
      </w:r>
    </w:p>
    <w:p w14:paraId="3CB246EC">
      <w:pPr>
        <w:keepNext w:val="0"/>
        <w:keepLines w:val="0"/>
        <w:pageBreakBefore w:val="0"/>
        <w:widowControl w:val="0"/>
        <w:kinsoku/>
        <w:wordWrap/>
        <w:overflowPunct/>
        <w:topLinePunct w:val="0"/>
        <w:autoSpaceDE/>
        <w:autoSpaceDN/>
        <w:bidi w:val="0"/>
        <w:adjustRightInd/>
        <w:snapToGrid/>
        <w:spacing w:line="400" w:lineRule="exact"/>
        <w:ind w:right="84" w:rightChars="38" w:firstLine="488" w:firstLineChars="200"/>
        <w:jc w:val="both"/>
        <w:textAlignment w:val="auto"/>
        <w:rPr>
          <w:rFonts w:hint="default" w:ascii="仿宋" w:hAnsi="仿宋" w:eastAsia="仿宋" w:cs="仿宋"/>
          <w:color w:val="000000"/>
          <w:spacing w:val="2"/>
          <w:sz w:val="24"/>
          <w:lang w:val="en-US" w:eastAsia="zh-CN"/>
        </w:rPr>
      </w:pPr>
      <w:r>
        <w:rPr>
          <w:rFonts w:hint="eastAsia" w:ascii="仿宋" w:hAnsi="仿宋" w:eastAsia="仿宋" w:cs="仿宋"/>
          <w:color w:val="000000"/>
          <w:spacing w:val="2"/>
          <w:sz w:val="24"/>
          <w:lang w:val="en-US" w:eastAsia="zh-CN"/>
        </w:rPr>
        <w:t>2026年11月19日-21日  （19日全天报到）  郑州市</w:t>
      </w:r>
    </w:p>
    <w:p w14:paraId="3427601C">
      <w:pPr>
        <w:keepNext w:val="0"/>
        <w:keepLines w:val="0"/>
        <w:pageBreakBefore w:val="0"/>
        <w:widowControl w:val="0"/>
        <w:kinsoku/>
        <w:wordWrap/>
        <w:overflowPunct/>
        <w:topLinePunct w:val="0"/>
        <w:autoSpaceDE/>
        <w:autoSpaceDN/>
        <w:bidi w:val="0"/>
        <w:adjustRightInd/>
        <w:snapToGrid/>
        <w:spacing w:line="400" w:lineRule="exact"/>
        <w:ind w:right="84" w:rightChars="38" w:firstLine="488" w:firstLineChars="200"/>
        <w:jc w:val="both"/>
        <w:textAlignment w:val="auto"/>
        <w:rPr>
          <w:rFonts w:hint="default" w:ascii="仿宋" w:hAnsi="仿宋" w:eastAsia="仿宋" w:cs="仿宋"/>
          <w:color w:val="000000"/>
          <w:spacing w:val="2"/>
          <w:sz w:val="24"/>
          <w:lang w:val="en-US" w:eastAsia="zh-CN"/>
        </w:rPr>
      </w:pPr>
      <w:r>
        <w:rPr>
          <w:rFonts w:hint="eastAsia" w:ascii="仿宋" w:hAnsi="仿宋" w:eastAsia="仿宋" w:cs="仿宋"/>
          <w:color w:val="000000"/>
          <w:spacing w:val="2"/>
          <w:sz w:val="24"/>
        </w:rPr>
        <w:t>具体地点于开班前一周通知</w:t>
      </w:r>
      <w:r>
        <w:rPr>
          <w:rFonts w:hint="eastAsia" w:ascii="仿宋" w:hAnsi="仿宋" w:eastAsia="仿宋" w:cs="仿宋"/>
          <w:color w:val="000000"/>
          <w:spacing w:val="2"/>
          <w:sz w:val="24"/>
        </w:rPr>
        <w:br w:type="textWrapping"/>
      </w:r>
      <w:r>
        <w:rPr>
          <w:rFonts w:hint="eastAsia" w:ascii="仿宋" w:hAnsi="仿宋" w:eastAsia="仿宋" w:cs="仿宋"/>
          <w:color w:val="000000"/>
          <w:spacing w:val="2"/>
          <w:sz w:val="24"/>
          <w:lang w:val="en-US" w:eastAsia="zh-CN"/>
        </w:rPr>
        <w:t>备注：精讲小班授课，参会学员请自备电脑！</w:t>
      </w:r>
    </w:p>
    <w:p w14:paraId="6CBD6390">
      <w:pPr>
        <w:spacing w:line="400" w:lineRule="exact"/>
        <w:ind w:right="84" w:rightChars="38"/>
        <w:jc w:val="both"/>
        <w:rPr>
          <w:rFonts w:ascii="宋体" w:hAnsi="宋体" w:eastAsia="仿宋" w:cs="宋体"/>
          <w:b/>
          <w:bCs/>
          <w:color w:val="000000"/>
          <w:spacing w:val="2"/>
          <w:sz w:val="24"/>
        </w:rPr>
      </w:pPr>
      <w:r>
        <w:rPr>
          <w:rFonts w:hint="eastAsia" w:ascii="宋体" w:hAnsi="宋体" w:eastAsia="仿宋" w:cs="宋体"/>
          <w:b/>
          <w:bCs/>
          <w:color w:val="000000"/>
          <w:spacing w:val="2"/>
          <w:sz w:val="24"/>
          <w:lang w:val="en-US" w:eastAsia="zh-CN"/>
        </w:rPr>
        <w:t>四</w:t>
      </w:r>
      <w:r>
        <w:rPr>
          <w:rFonts w:hint="eastAsia" w:ascii="宋体" w:hAnsi="宋体" w:eastAsia="仿宋" w:cs="宋体"/>
          <w:b/>
          <w:bCs/>
          <w:color w:val="000000"/>
          <w:spacing w:val="2"/>
          <w:sz w:val="24"/>
        </w:rPr>
        <w:t>、相关费用</w:t>
      </w:r>
    </w:p>
    <w:p w14:paraId="478D288C">
      <w:pPr>
        <w:spacing w:line="400" w:lineRule="exact"/>
        <w:ind w:right="84" w:rightChars="38" w:firstLine="488" w:firstLineChars="200"/>
        <w:jc w:val="both"/>
        <w:rPr>
          <w:rFonts w:hint="eastAsia" w:ascii="仿宋" w:hAnsi="仿宋" w:eastAsia="仿宋" w:cs="仿宋"/>
          <w:color w:val="000000"/>
          <w:spacing w:val="2"/>
          <w:sz w:val="24"/>
        </w:rPr>
      </w:pPr>
      <w:r>
        <w:rPr>
          <w:rFonts w:hint="eastAsia" w:ascii="仿宋" w:hAnsi="仿宋" w:eastAsia="仿宋" w:cs="仿宋"/>
          <w:color w:val="000000"/>
          <w:spacing w:val="2"/>
          <w:sz w:val="24"/>
          <w:lang w:val="en-US" w:eastAsia="zh-CN"/>
        </w:rPr>
        <w:t>A：</w:t>
      </w:r>
      <w:r>
        <w:rPr>
          <w:rFonts w:hint="eastAsia" w:ascii="仿宋" w:hAnsi="仿宋" w:eastAsia="仿宋" w:cs="仿宋"/>
          <w:color w:val="000000"/>
          <w:spacing w:val="2"/>
          <w:sz w:val="24"/>
        </w:rPr>
        <w:t>3</w:t>
      </w:r>
      <w:r>
        <w:rPr>
          <w:rFonts w:hint="eastAsia" w:ascii="仿宋" w:hAnsi="仿宋" w:eastAsia="仿宋" w:cs="仿宋"/>
          <w:color w:val="000000"/>
          <w:spacing w:val="2"/>
          <w:sz w:val="24"/>
          <w:lang w:val="en-US" w:eastAsia="zh-CN"/>
        </w:rPr>
        <w:t>60</w:t>
      </w:r>
      <w:r>
        <w:rPr>
          <w:rFonts w:hint="eastAsia" w:ascii="仿宋" w:hAnsi="仿宋" w:eastAsia="仿宋" w:cs="仿宋"/>
          <w:color w:val="000000"/>
          <w:spacing w:val="2"/>
          <w:sz w:val="24"/>
        </w:rPr>
        <w:t>0元/人（含培训费、资料费、电子课件、场地、会议期间午餐），住宿统一安排，费用自理。</w:t>
      </w:r>
    </w:p>
    <w:p w14:paraId="72B3C34F">
      <w:pPr>
        <w:spacing w:line="400" w:lineRule="exact"/>
        <w:ind w:right="84" w:rightChars="38" w:firstLine="480" w:firstLineChars="200"/>
        <w:jc w:val="both"/>
        <w:rPr>
          <w:rFonts w:hint="eastAsia" w:ascii="仿宋" w:hAnsi="仿宋" w:eastAsia="仿宋" w:cs="仿宋"/>
          <w:color w:val="000000"/>
          <w:spacing w:val="2"/>
          <w:sz w:val="24"/>
        </w:rPr>
      </w:pPr>
      <w:r>
        <w:rPr>
          <w:rFonts w:hint="eastAsia" w:ascii="仿宋" w:hAnsi="仿宋" w:eastAsia="仿宋" w:cs="仿宋"/>
          <w:kern w:val="0"/>
          <w:sz w:val="24"/>
          <w:lang w:val="en-US" w:eastAsia="zh-CN"/>
        </w:rPr>
        <w:t>B.以上内容线上培训费用：19800元一个企业学习账号，单位投屏播放，统一观看。</w:t>
      </w:r>
    </w:p>
    <w:p w14:paraId="50E049A9">
      <w:pPr>
        <w:spacing w:line="400" w:lineRule="exact"/>
        <w:ind w:right="84" w:rightChars="38"/>
        <w:jc w:val="both"/>
        <w:rPr>
          <w:rFonts w:ascii="宋体" w:hAnsi="宋体" w:eastAsia="仿宋" w:cs="宋体"/>
          <w:b/>
          <w:bCs/>
          <w:color w:val="000000"/>
          <w:spacing w:val="2"/>
          <w:sz w:val="24"/>
        </w:rPr>
      </w:pPr>
      <w:r>
        <w:rPr>
          <w:rFonts w:hint="eastAsia" w:ascii="宋体" w:hAnsi="宋体" w:eastAsia="仿宋" w:cs="宋体"/>
          <w:b/>
          <w:bCs/>
          <w:color w:val="000000"/>
          <w:spacing w:val="2"/>
          <w:sz w:val="24"/>
          <w:lang w:val="en-US" w:eastAsia="zh-CN"/>
        </w:rPr>
        <w:t>五</w:t>
      </w:r>
      <w:r>
        <w:rPr>
          <w:rFonts w:hint="eastAsia" w:ascii="宋体" w:hAnsi="宋体" w:eastAsia="仿宋" w:cs="宋体"/>
          <w:b/>
          <w:bCs/>
          <w:color w:val="000000"/>
          <w:spacing w:val="2"/>
          <w:sz w:val="24"/>
        </w:rPr>
        <w:t>、联系方式</w:t>
      </w:r>
    </w:p>
    <w:p w14:paraId="53ABF132">
      <w:pPr>
        <w:spacing w:line="400" w:lineRule="exact"/>
        <w:ind w:right="84" w:rightChars="38" w:firstLine="488" w:firstLineChars="200"/>
        <w:jc w:val="both"/>
        <w:rPr>
          <w:rFonts w:hint="eastAsia" w:ascii="仿宋" w:hAnsi="仿宋" w:eastAsia="仿宋" w:cs="仿宋"/>
          <w:color w:val="000000"/>
          <w:spacing w:val="2"/>
          <w:sz w:val="24"/>
        </w:rPr>
      </w:pPr>
      <w:r>
        <w:rPr>
          <w:rFonts w:hint="eastAsia" w:ascii="仿宋" w:hAnsi="仿宋" w:eastAsia="仿宋" w:cs="仿宋"/>
          <w:color w:val="000000"/>
          <w:spacing w:val="2"/>
          <w:sz w:val="24"/>
        </w:rPr>
        <w:t xml:space="preserve">报名负责人：聂红军 主任18211071700（微信）   </w:t>
      </w:r>
    </w:p>
    <w:p w14:paraId="0BEF603F">
      <w:pPr>
        <w:spacing w:line="400" w:lineRule="exact"/>
        <w:ind w:right="84" w:rightChars="38" w:firstLine="488" w:firstLineChars="200"/>
        <w:jc w:val="both"/>
        <w:rPr>
          <w:rFonts w:hint="eastAsia" w:ascii="仿宋" w:hAnsi="仿宋" w:eastAsia="仿宋" w:cs="仿宋"/>
          <w:color w:val="000000"/>
          <w:spacing w:val="2"/>
          <w:sz w:val="24"/>
        </w:rPr>
      </w:pPr>
      <w:r>
        <w:rPr>
          <w:rFonts w:hint="eastAsia" w:ascii="仿宋" w:hAnsi="仿宋" w:eastAsia="仿宋" w:cs="仿宋"/>
          <w:color w:val="000000"/>
          <w:spacing w:val="2"/>
          <w:sz w:val="24"/>
        </w:rPr>
        <w:t xml:space="preserve">电    话：13141289128        邮    箱：470882753@qq.com  </w:t>
      </w:r>
    </w:p>
    <w:p w14:paraId="4CA7D6E3">
      <w:pPr>
        <w:spacing w:line="400" w:lineRule="exact"/>
        <w:ind w:right="84" w:rightChars="38" w:firstLine="488" w:firstLineChars="200"/>
        <w:jc w:val="both"/>
        <w:rPr>
          <w:rFonts w:ascii="仿宋" w:hAnsi="仿宋" w:eastAsia="仿宋" w:cs="仿宋"/>
          <w:color w:val="000000"/>
          <w:spacing w:val="2"/>
          <w:sz w:val="24"/>
        </w:rPr>
      </w:pPr>
      <w:r>
        <w:rPr>
          <w:rFonts w:hint="eastAsia" w:ascii="仿宋" w:hAnsi="仿宋" w:eastAsia="仿宋" w:cs="仿宋"/>
          <w:color w:val="000000"/>
          <w:spacing w:val="2"/>
          <w:sz w:val="24"/>
        </w:rPr>
        <w:t>qq咨询：470882753            网    址：www.zqgpchina.cn</w:t>
      </w:r>
      <w:r>
        <w:rPr>
          <w:rFonts w:hint="eastAsia" w:ascii="仿宋" w:hAnsi="仿宋" w:eastAsia="仿宋" w:cs="仿宋"/>
          <w:color w:val="000000"/>
          <w:spacing w:val="2"/>
          <w:sz w:val="24"/>
        </w:rPr>
        <w:drawing>
          <wp:anchor distT="0" distB="0" distL="114300" distR="114300" simplePos="0" relativeHeight="251660288" behindDoc="1" locked="0" layoutInCell="1" allowOverlap="1">
            <wp:simplePos x="0" y="0"/>
            <wp:positionH relativeFrom="column">
              <wp:posOffset>3168015</wp:posOffset>
            </wp:positionH>
            <wp:positionV relativeFrom="paragraph">
              <wp:posOffset>40005</wp:posOffset>
            </wp:positionV>
            <wp:extent cx="2679700" cy="1905000"/>
            <wp:effectExtent l="0" t="0" r="0" b="0"/>
            <wp:wrapNone/>
            <wp:docPr id="2" name="图片 2" descr="建术公章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建术公章12"/>
                    <pic:cNvPicPr>
                      <a:picLocks noChangeAspect="1"/>
                    </pic:cNvPicPr>
                  </pic:nvPicPr>
                  <pic:blipFill>
                    <a:blip r:embed="rId6"/>
                    <a:stretch>
                      <a:fillRect/>
                    </a:stretch>
                  </pic:blipFill>
                  <pic:spPr>
                    <a:xfrm>
                      <a:off x="0" y="0"/>
                      <a:ext cx="2679700" cy="1905000"/>
                    </a:xfrm>
                    <a:prstGeom prst="rect">
                      <a:avLst/>
                    </a:prstGeom>
                    <a:noFill/>
                    <a:ln>
                      <a:noFill/>
                    </a:ln>
                  </pic:spPr>
                </pic:pic>
              </a:graphicData>
            </a:graphic>
          </wp:anchor>
        </w:drawing>
      </w:r>
    </w:p>
    <w:p w14:paraId="7A75443B">
      <w:pPr>
        <w:ind w:right="84" w:rightChars="38"/>
        <w:jc w:val="both"/>
        <w:rPr>
          <w:rFonts w:ascii="仿宋" w:hAnsi="仿宋" w:eastAsia="Times New Roman" w:cs="仿宋"/>
          <w:color w:val="000000"/>
          <w:spacing w:val="2"/>
          <w:sz w:val="28"/>
        </w:rPr>
      </w:pPr>
    </w:p>
    <w:p w14:paraId="3985E120">
      <w:pPr>
        <w:ind w:right="84" w:rightChars="38"/>
        <w:jc w:val="right"/>
        <w:rPr>
          <w:rFonts w:hint="eastAsia" w:ascii="仿宋" w:hAnsi="仿宋" w:eastAsia="仿宋" w:cs="仿宋"/>
          <w:color w:val="000000"/>
          <w:spacing w:val="2"/>
          <w:sz w:val="24"/>
          <w:szCs w:val="24"/>
        </w:rPr>
      </w:pPr>
      <w:r>
        <w:rPr>
          <w:rFonts w:hint="eastAsia" w:ascii="仿宋" w:hAnsi="仿宋" w:eastAsia="仿宋" w:cs="仿宋"/>
          <w:color w:val="000000"/>
          <w:spacing w:val="2"/>
          <w:sz w:val="24"/>
          <w:szCs w:val="24"/>
        </w:rPr>
        <w:t>北京建术信息科技研究院有限公司</w:t>
      </w:r>
    </w:p>
    <w:p w14:paraId="082C7810">
      <w:pPr>
        <w:ind w:right="84" w:rightChars="38"/>
        <w:jc w:val="right"/>
        <w:rPr>
          <w:rStyle w:val="17"/>
          <w:rFonts w:ascii="黑体" w:hAnsi="黑体" w:eastAsia="黑体" w:cs="宋体"/>
          <w:color w:val="000000"/>
          <w:sz w:val="28"/>
          <w:szCs w:val="28"/>
        </w:rPr>
      </w:pPr>
      <w:r>
        <w:rPr>
          <w:rFonts w:hint="eastAsia" w:ascii="仿宋" w:hAnsi="仿宋" w:eastAsia="仿宋" w:cs="仿宋"/>
          <w:color w:val="000000"/>
          <w:spacing w:val="2"/>
          <w:sz w:val="24"/>
          <w:szCs w:val="24"/>
        </w:rPr>
        <w:t>202</w:t>
      </w:r>
      <w:r>
        <w:rPr>
          <w:rFonts w:hint="eastAsia" w:ascii="仿宋" w:hAnsi="仿宋" w:eastAsia="仿宋" w:cs="仿宋"/>
          <w:color w:val="000000"/>
          <w:spacing w:val="2"/>
          <w:sz w:val="24"/>
          <w:szCs w:val="24"/>
          <w:lang w:val="en-US" w:eastAsia="zh-CN"/>
        </w:rPr>
        <w:t>6</w:t>
      </w:r>
      <w:r>
        <w:rPr>
          <w:rFonts w:hint="eastAsia" w:ascii="仿宋" w:hAnsi="仿宋" w:eastAsia="仿宋" w:cs="仿宋"/>
          <w:color w:val="000000"/>
          <w:spacing w:val="2"/>
          <w:sz w:val="24"/>
          <w:szCs w:val="24"/>
        </w:rPr>
        <w:t>年</w:t>
      </w:r>
      <w:r>
        <w:rPr>
          <w:rFonts w:hint="eastAsia" w:ascii="仿宋" w:hAnsi="仿宋" w:eastAsia="仿宋" w:cs="仿宋"/>
          <w:color w:val="000000"/>
          <w:spacing w:val="2"/>
          <w:sz w:val="24"/>
          <w:szCs w:val="24"/>
          <w:lang w:val="en-US" w:eastAsia="zh-CN"/>
        </w:rPr>
        <w:t>9</w:t>
      </w:r>
      <w:r>
        <w:rPr>
          <w:rFonts w:hint="eastAsia" w:ascii="仿宋" w:hAnsi="仿宋" w:eastAsia="仿宋" w:cs="仿宋"/>
          <w:color w:val="000000"/>
          <w:spacing w:val="2"/>
          <w:sz w:val="24"/>
          <w:szCs w:val="24"/>
        </w:rPr>
        <w:t>月</w:t>
      </w:r>
      <w:r>
        <w:rPr>
          <w:rFonts w:hint="eastAsia" w:ascii="仿宋" w:hAnsi="仿宋" w:eastAsia="仿宋" w:cs="仿宋"/>
          <w:color w:val="000000"/>
          <w:spacing w:val="2"/>
          <w:sz w:val="24"/>
          <w:szCs w:val="24"/>
          <w:lang w:val="en-US" w:eastAsia="zh-CN"/>
        </w:rPr>
        <w:t>7</w:t>
      </w:r>
      <w:r>
        <w:rPr>
          <w:rFonts w:hint="eastAsia" w:ascii="仿宋" w:hAnsi="仿宋" w:eastAsia="仿宋" w:cs="仿宋"/>
          <w:color w:val="000000"/>
          <w:spacing w:val="2"/>
          <w:sz w:val="24"/>
          <w:szCs w:val="24"/>
        </w:rPr>
        <w:t>日</w:t>
      </w:r>
    </w:p>
    <w:p w14:paraId="636818DE">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仿宋" w:hAnsi="仿宋" w:eastAsia="仿宋" w:cs="仿宋"/>
          <w:b/>
          <w:bCs/>
          <w:sz w:val="28"/>
          <w:szCs w:val="28"/>
          <w:lang w:val="en-US" w:eastAsia="zh-CN"/>
        </w:rPr>
      </w:pPr>
    </w:p>
    <w:p w14:paraId="31DA22ED">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仿宋" w:hAnsi="仿宋" w:eastAsia="仿宋" w:cs="仿宋"/>
          <w:b/>
          <w:bCs/>
          <w:sz w:val="28"/>
          <w:szCs w:val="28"/>
          <w:lang w:val="en-US" w:eastAsia="zh-CN"/>
        </w:rPr>
      </w:pPr>
    </w:p>
    <w:p w14:paraId="764672FE">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仿宋" w:hAnsi="仿宋" w:eastAsia="仿宋" w:cs="仿宋"/>
          <w:lang w:val="en-US" w:eastAsia="zh-CN"/>
        </w:rPr>
      </w:pPr>
      <w:r>
        <w:rPr>
          <w:rFonts w:hint="eastAsia" w:ascii="仿宋" w:hAnsi="仿宋" w:eastAsia="仿宋" w:cs="仿宋"/>
          <w:b/>
          <w:bCs/>
          <w:sz w:val="28"/>
          <w:szCs w:val="28"/>
          <w:lang w:val="en-US" w:eastAsia="zh-CN"/>
        </w:rPr>
        <w:t>附件2：</w:t>
      </w:r>
    </w:p>
    <w:p w14:paraId="48863E0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基于 WorkBuddy 平台的 DeepSeek 赋能工程造价降本增效实践—实务及案例分析专题培训班报名回执表</w:t>
      </w:r>
    </w:p>
    <w:tbl>
      <w:tblPr>
        <w:tblStyle w:val="15"/>
        <w:tblpPr w:leftFromText="180" w:rightFromText="180" w:vertAnchor="text" w:horzAnchor="page" w:tblpXSpec="center" w:tblpY="187"/>
        <w:tblOverlap w:val="never"/>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2"/>
        <w:gridCol w:w="771"/>
        <w:gridCol w:w="1374"/>
        <w:gridCol w:w="1418"/>
        <w:gridCol w:w="802"/>
        <w:gridCol w:w="6"/>
        <w:gridCol w:w="1176"/>
        <w:gridCol w:w="498"/>
        <w:gridCol w:w="949"/>
      </w:tblGrid>
      <w:tr w14:paraId="4613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932" w:type="dxa"/>
            <w:noWrap/>
            <w:vAlign w:val="center"/>
          </w:tcPr>
          <w:p w14:paraId="4BC7B55A">
            <w:pPr>
              <w:spacing w:after="0" w:line="240" w:lineRule="auto"/>
              <w:ind w:left="0" w:right="0" w:rightChars="0" w:firstLine="0" w:firstLineChars="0"/>
              <w:jc w:val="both"/>
              <w:rPr>
                <w:rFonts w:ascii="仿宋" w:hAnsi="仿宋" w:eastAsia="仿宋" w:cs="仿宋"/>
                <w:bCs/>
                <w:sz w:val="24"/>
              </w:rPr>
            </w:pPr>
            <w:r>
              <w:rPr>
                <w:rFonts w:hint="eastAsia" w:ascii="仿宋" w:hAnsi="仿宋" w:eastAsia="仿宋" w:cs="仿宋"/>
                <w:bCs/>
                <w:sz w:val="24"/>
              </w:rPr>
              <w:t>单位名称</w:t>
            </w:r>
          </w:p>
        </w:tc>
        <w:tc>
          <w:tcPr>
            <w:tcW w:w="4371" w:type="dxa"/>
            <w:gridSpan w:val="5"/>
            <w:noWrap/>
            <w:vAlign w:val="center"/>
          </w:tcPr>
          <w:p w14:paraId="1199FC33">
            <w:pPr>
              <w:spacing w:after="0" w:line="240" w:lineRule="auto"/>
              <w:ind w:left="0" w:right="0" w:rightChars="0" w:firstLine="0" w:firstLineChars="0"/>
              <w:jc w:val="both"/>
              <w:rPr>
                <w:rFonts w:ascii="仿宋" w:hAnsi="仿宋" w:eastAsia="仿宋" w:cs="仿宋"/>
                <w:bCs/>
                <w:sz w:val="24"/>
              </w:rPr>
            </w:pPr>
          </w:p>
        </w:tc>
        <w:tc>
          <w:tcPr>
            <w:tcW w:w="1176" w:type="dxa"/>
            <w:noWrap/>
            <w:vAlign w:val="center"/>
          </w:tcPr>
          <w:p w14:paraId="73B99904">
            <w:pPr>
              <w:spacing w:after="0" w:line="240" w:lineRule="auto"/>
              <w:ind w:left="0" w:right="0" w:rightChars="0" w:firstLine="0" w:firstLineChars="0"/>
              <w:jc w:val="both"/>
              <w:rPr>
                <w:rFonts w:ascii="仿宋" w:hAnsi="仿宋" w:eastAsia="仿宋" w:cs="仿宋"/>
                <w:bCs/>
                <w:sz w:val="24"/>
              </w:rPr>
            </w:pPr>
            <w:r>
              <w:rPr>
                <w:rFonts w:hint="eastAsia" w:ascii="仿宋" w:hAnsi="仿宋" w:eastAsia="仿宋" w:cs="仿宋"/>
                <w:bCs/>
                <w:sz w:val="24"/>
              </w:rPr>
              <w:t>邮编</w:t>
            </w:r>
          </w:p>
        </w:tc>
        <w:tc>
          <w:tcPr>
            <w:tcW w:w="1447" w:type="dxa"/>
            <w:gridSpan w:val="2"/>
            <w:noWrap/>
            <w:vAlign w:val="center"/>
          </w:tcPr>
          <w:p w14:paraId="31624662">
            <w:pPr>
              <w:spacing w:after="0" w:line="240" w:lineRule="auto"/>
              <w:ind w:left="0" w:right="0" w:rightChars="0" w:firstLine="0" w:firstLineChars="0"/>
              <w:jc w:val="both"/>
              <w:rPr>
                <w:rFonts w:ascii="仿宋" w:hAnsi="仿宋" w:eastAsia="仿宋" w:cs="仿宋"/>
                <w:bCs/>
                <w:sz w:val="24"/>
              </w:rPr>
            </w:pPr>
          </w:p>
        </w:tc>
      </w:tr>
      <w:tr w14:paraId="1C8FF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932" w:type="dxa"/>
            <w:noWrap/>
            <w:vAlign w:val="center"/>
          </w:tcPr>
          <w:p w14:paraId="29C0FD0C">
            <w:pPr>
              <w:spacing w:after="0" w:line="240" w:lineRule="auto"/>
              <w:ind w:right="0" w:rightChars="0"/>
              <w:jc w:val="both"/>
              <w:rPr>
                <w:rFonts w:ascii="仿宋" w:hAnsi="仿宋" w:eastAsia="仿宋" w:cs="仿宋"/>
                <w:bCs/>
                <w:sz w:val="24"/>
              </w:rPr>
            </w:pPr>
            <w:r>
              <w:rPr>
                <w:rFonts w:hint="eastAsia" w:ascii="仿宋" w:hAnsi="仿宋" w:eastAsia="仿宋" w:cs="仿宋"/>
                <w:bCs/>
                <w:sz w:val="24"/>
              </w:rPr>
              <w:t>详细地址</w:t>
            </w:r>
          </w:p>
        </w:tc>
        <w:tc>
          <w:tcPr>
            <w:tcW w:w="6994" w:type="dxa"/>
            <w:gridSpan w:val="8"/>
            <w:noWrap/>
            <w:vAlign w:val="center"/>
          </w:tcPr>
          <w:p w14:paraId="1A78A090">
            <w:pPr>
              <w:spacing w:after="0" w:line="240" w:lineRule="auto"/>
              <w:ind w:right="0" w:rightChars="0"/>
              <w:jc w:val="both"/>
              <w:rPr>
                <w:rFonts w:ascii="仿宋" w:hAnsi="仿宋" w:eastAsia="仿宋" w:cs="仿宋"/>
                <w:bCs/>
                <w:sz w:val="24"/>
              </w:rPr>
            </w:pPr>
          </w:p>
        </w:tc>
      </w:tr>
      <w:tr w14:paraId="06009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32" w:type="dxa"/>
            <w:noWrap/>
            <w:vAlign w:val="center"/>
          </w:tcPr>
          <w:p w14:paraId="79A4CDE8">
            <w:pPr>
              <w:spacing w:after="0" w:line="240" w:lineRule="auto"/>
              <w:ind w:right="0" w:rightChars="0"/>
              <w:jc w:val="both"/>
              <w:rPr>
                <w:rFonts w:ascii="仿宋" w:hAnsi="仿宋" w:eastAsia="仿宋" w:cs="仿宋"/>
                <w:bCs/>
                <w:sz w:val="24"/>
              </w:rPr>
            </w:pPr>
            <w:r>
              <w:rPr>
                <w:rFonts w:hint="eastAsia" w:ascii="仿宋" w:hAnsi="仿宋" w:eastAsia="仿宋" w:cs="仿宋"/>
                <w:bCs/>
                <w:sz w:val="24"/>
              </w:rPr>
              <w:t>联系人</w:t>
            </w:r>
          </w:p>
        </w:tc>
        <w:tc>
          <w:tcPr>
            <w:tcW w:w="3563" w:type="dxa"/>
            <w:gridSpan w:val="3"/>
            <w:noWrap/>
            <w:vAlign w:val="center"/>
          </w:tcPr>
          <w:p w14:paraId="18E3F613">
            <w:pPr>
              <w:spacing w:after="0" w:line="240" w:lineRule="auto"/>
              <w:ind w:right="0" w:rightChars="0"/>
              <w:jc w:val="both"/>
              <w:rPr>
                <w:rFonts w:ascii="仿宋" w:hAnsi="仿宋" w:eastAsia="仿宋" w:cs="仿宋"/>
                <w:bCs/>
                <w:sz w:val="24"/>
              </w:rPr>
            </w:pPr>
          </w:p>
        </w:tc>
        <w:tc>
          <w:tcPr>
            <w:tcW w:w="1984" w:type="dxa"/>
            <w:gridSpan w:val="3"/>
            <w:noWrap/>
            <w:vAlign w:val="center"/>
          </w:tcPr>
          <w:p w14:paraId="71AD935A">
            <w:pPr>
              <w:keepNext/>
              <w:spacing w:after="0" w:line="240" w:lineRule="auto"/>
              <w:ind w:right="0" w:rightChars="0"/>
              <w:jc w:val="both"/>
              <w:outlineLvl w:val="0"/>
              <w:rPr>
                <w:rFonts w:ascii="仿宋" w:hAnsi="仿宋" w:eastAsia="仿宋" w:cs="仿宋"/>
                <w:bCs/>
                <w:sz w:val="24"/>
              </w:rPr>
            </w:pPr>
            <w:r>
              <w:rPr>
                <w:rFonts w:hint="eastAsia" w:ascii="仿宋" w:hAnsi="仿宋" w:eastAsia="仿宋" w:cs="仿宋"/>
                <w:bCs/>
                <w:sz w:val="24"/>
              </w:rPr>
              <w:t>E-mail</w:t>
            </w:r>
          </w:p>
        </w:tc>
        <w:tc>
          <w:tcPr>
            <w:tcW w:w="1447" w:type="dxa"/>
            <w:gridSpan w:val="2"/>
            <w:noWrap/>
            <w:vAlign w:val="center"/>
          </w:tcPr>
          <w:p w14:paraId="2C0A5D97">
            <w:pPr>
              <w:spacing w:after="0" w:line="240" w:lineRule="auto"/>
              <w:ind w:right="0" w:rightChars="0"/>
              <w:jc w:val="both"/>
              <w:rPr>
                <w:rFonts w:ascii="仿宋" w:hAnsi="仿宋" w:eastAsia="仿宋" w:cs="仿宋"/>
                <w:bCs/>
                <w:sz w:val="24"/>
              </w:rPr>
            </w:pPr>
          </w:p>
        </w:tc>
      </w:tr>
      <w:tr w14:paraId="09069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932" w:type="dxa"/>
            <w:noWrap/>
            <w:vAlign w:val="center"/>
          </w:tcPr>
          <w:p w14:paraId="23013B45">
            <w:pPr>
              <w:spacing w:after="0" w:line="240" w:lineRule="auto"/>
              <w:ind w:right="0" w:rightChars="0"/>
              <w:jc w:val="both"/>
              <w:rPr>
                <w:rFonts w:ascii="仿宋" w:hAnsi="仿宋" w:eastAsia="仿宋" w:cs="仿宋"/>
                <w:bCs/>
                <w:sz w:val="24"/>
              </w:rPr>
            </w:pPr>
            <w:r>
              <w:rPr>
                <w:rFonts w:hint="eastAsia" w:ascii="仿宋" w:hAnsi="仿宋" w:eastAsia="仿宋" w:cs="仿宋"/>
                <w:bCs/>
                <w:sz w:val="24"/>
              </w:rPr>
              <w:t>电话（区号）</w:t>
            </w:r>
          </w:p>
        </w:tc>
        <w:tc>
          <w:tcPr>
            <w:tcW w:w="3563" w:type="dxa"/>
            <w:gridSpan w:val="3"/>
            <w:noWrap/>
            <w:vAlign w:val="center"/>
          </w:tcPr>
          <w:p w14:paraId="6A995843">
            <w:pPr>
              <w:spacing w:after="0" w:line="240" w:lineRule="auto"/>
              <w:ind w:right="0" w:rightChars="0"/>
              <w:jc w:val="both"/>
              <w:rPr>
                <w:rFonts w:ascii="仿宋" w:hAnsi="仿宋" w:eastAsia="仿宋" w:cs="仿宋"/>
                <w:bCs/>
                <w:sz w:val="24"/>
              </w:rPr>
            </w:pPr>
          </w:p>
        </w:tc>
        <w:tc>
          <w:tcPr>
            <w:tcW w:w="1984" w:type="dxa"/>
            <w:gridSpan w:val="3"/>
            <w:noWrap/>
            <w:vAlign w:val="center"/>
          </w:tcPr>
          <w:p w14:paraId="32C91F5C">
            <w:pPr>
              <w:spacing w:after="0" w:line="240" w:lineRule="auto"/>
              <w:ind w:right="0" w:rightChars="0"/>
              <w:jc w:val="both"/>
              <w:rPr>
                <w:rFonts w:ascii="仿宋" w:hAnsi="仿宋" w:eastAsia="仿宋" w:cs="仿宋"/>
                <w:bCs/>
                <w:sz w:val="24"/>
              </w:rPr>
            </w:pPr>
            <w:r>
              <w:rPr>
                <w:rFonts w:hint="eastAsia" w:ascii="仿宋" w:hAnsi="仿宋" w:eastAsia="仿宋" w:cs="仿宋"/>
                <w:bCs/>
                <w:sz w:val="24"/>
              </w:rPr>
              <w:t>传真</w:t>
            </w:r>
          </w:p>
        </w:tc>
        <w:tc>
          <w:tcPr>
            <w:tcW w:w="1447" w:type="dxa"/>
            <w:gridSpan w:val="2"/>
            <w:noWrap/>
            <w:vAlign w:val="center"/>
          </w:tcPr>
          <w:p w14:paraId="72A05658">
            <w:pPr>
              <w:spacing w:after="0" w:line="240" w:lineRule="auto"/>
              <w:ind w:right="0" w:rightChars="0"/>
              <w:jc w:val="both"/>
              <w:rPr>
                <w:rFonts w:ascii="仿宋" w:hAnsi="仿宋" w:eastAsia="仿宋" w:cs="仿宋"/>
                <w:bCs/>
                <w:sz w:val="24"/>
              </w:rPr>
            </w:pPr>
          </w:p>
        </w:tc>
      </w:tr>
      <w:tr w14:paraId="3DBE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32" w:type="dxa"/>
            <w:noWrap/>
            <w:vAlign w:val="center"/>
          </w:tcPr>
          <w:p w14:paraId="643F1AA8">
            <w:pPr>
              <w:spacing w:after="0" w:line="240" w:lineRule="auto"/>
              <w:ind w:right="0" w:rightChars="0"/>
              <w:jc w:val="both"/>
              <w:rPr>
                <w:rFonts w:ascii="仿宋" w:hAnsi="仿宋" w:eastAsia="仿宋" w:cs="仿宋"/>
                <w:bCs/>
                <w:sz w:val="24"/>
              </w:rPr>
            </w:pPr>
            <w:r>
              <w:rPr>
                <w:rFonts w:hint="eastAsia" w:ascii="仿宋" w:hAnsi="仿宋" w:eastAsia="仿宋" w:cs="仿宋"/>
                <w:bCs/>
                <w:sz w:val="24"/>
              </w:rPr>
              <w:t>参班代表姓名</w:t>
            </w:r>
          </w:p>
        </w:tc>
        <w:tc>
          <w:tcPr>
            <w:tcW w:w="771" w:type="dxa"/>
            <w:noWrap/>
            <w:vAlign w:val="center"/>
          </w:tcPr>
          <w:p w14:paraId="5AE9B286">
            <w:pPr>
              <w:spacing w:after="0" w:line="240" w:lineRule="auto"/>
              <w:ind w:right="0" w:rightChars="0"/>
              <w:jc w:val="both"/>
              <w:rPr>
                <w:rFonts w:ascii="仿宋" w:hAnsi="仿宋" w:eastAsia="仿宋" w:cs="仿宋"/>
                <w:bCs/>
                <w:sz w:val="24"/>
              </w:rPr>
            </w:pPr>
            <w:r>
              <w:rPr>
                <w:rFonts w:hint="eastAsia" w:ascii="仿宋" w:hAnsi="仿宋" w:eastAsia="仿宋" w:cs="仿宋"/>
                <w:bCs/>
                <w:sz w:val="24"/>
              </w:rPr>
              <w:t>性别</w:t>
            </w:r>
          </w:p>
        </w:tc>
        <w:tc>
          <w:tcPr>
            <w:tcW w:w="1374" w:type="dxa"/>
            <w:noWrap/>
            <w:vAlign w:val="center"/>
          </w:tcPr>
          <w:p w14:paraId="6A577FFD">
            <w:pPr>
              <w:spacing w:after="0" w:line="240" w:lineRule="auto"/>
              <w:ind w:right="0" w:rightChars="0"/>
              <w:jc w:val="both"/>
              <w:rPr>
                <w:rFonts w:ascii="仿宋" w:hAnsi="仿宋" w:eastAsia="仿宋" w:cs="仿宋"/>
                <w:bCs/>
                <w:sz w:val="24"/>
              </w:rPr>
            </w:pPr>
            <w:r>
              <w:rPr>
                <w:rFonts w:hint="eastAsia" w:ascii="仿宋" w:hAnsi="仿宋" w:eastAsia="仿宋" w:cs="仿宋"/>
                <w:bCs/>
                <w:sz w:val="24"/>
              </w:rPr>
              <w:t>部门</w:t>
            </w:r>
          </w:p>
        </w:tc>
        <w:tc>
          <w:tcPr>
            <w:tcW w:w="1418" w:type="dxa"/>
            <w:noWrap/>
            <w:vAlign w:val="center"/>
          </w:tcPr>
          <w:p w14:paraId="457DF4DB">
            <w:pPr>
              <w:spacing w:after="0" w:line="240" w:lineRule="auto"/>
              <w:ind w:right="0" w:rightChars="0"/>
              <w:jc w:val="both"/>
              <w:rPr>
                <w:rFonts w:ascii="仿宋" w:hAnsi="仿宋" w:eastAsia="仿宋" w:cs="仿宋"/>
                <w:bCs/>
                <w:sz w:val="24"/>
              </w:rPr>
            </w:pPr>
            <w:r>
              <w:rPr>
                <w:rFonts w:hint="eastAsia" w:ascii="仿宋" w:hAnsi="仿宋" w:eastAsia="仿宋" w:cs="仿宋"/>
                <w:bCs/>
                <w:sz w:val="24"/>
              </w:rPr>
              <w:t>职务</w:t>
            </w:r>
          </w:p>
        </w:tc>
        <w:tc>
          <w:tcPr>
            <w:tcW w:w="1984" w:type="dxa"/>
            <w:gridSpan w:val="3"/>
            <w:noWrap/>
            <w:vAlign w:val="center"/>
          </w:tcPr>
          <w:p w14:paraId="2EC39FE4">
            <w:pPr>
              <w:spacing w:after="0" w:line="240" w:lineRule="auto"/>
              <w:ind w:right="0" w:rightChars="0"/>
              <w:jc w:val="both"/>
              <w:rPr>
                <w:rFonts w:ascii="仿宋" w:hAnsi="仿宋" w:eastAsia="仿宋" w:cs="仿宋"/>
                <w:bCs/>
                <w:sz w:val="24"/>
              </w:rPr>
            </w:pPr>
            <w:r>
              <w:rPr>
                <w:rFonts w:hint="eastAsia" w:ascii="仿宋" w:hAnsi="仿宋" w:eastAsia="仿宋" w:cs="仿宋"/>
                <w:bCs/>
                <w:sz w:val="24"/>
              </w:rPr>
              <w:t>手机</w:t>
            </w:r>
          </w:p>
        </w:tc>
        <w:tc>
          <w:tcPr>
            <w:tcW w:w="1447" w:type="dxa"/>
            <w:gridSpan w:val="2"/>
            <w:noWrap/>
            <w:vAlign w:val="center"/>
          </w:tcPr>
          <w:p w14:paraId="7F1E786F">
            <w:pPr>
              <w:spacing w:after="0" w:line="240" w:lineRule="auto"/>
              <w:ind w:right="0" w:rightChars="0"/>
              <w:jc w:val="both"/>
              <w:rPr>
                <w:rFonts w:ascii="仿宋" w:hAnsi="仿宋" w:eastAsia="仿宋" w:cs="仿宋"/>
                <w:bCs/>
                <w:sz w:val="24"/>
              </w:rPr>
            </w:pPr>
            <w:r>
              <w:rPr>
                <w:rFonts w:hint="eastAsia" w:ascii="仿宋" w:hAnsi="仿宋" w:eastAsia="仿宋" w:cs="仿宋"/>
                <w:bCs/>
                <w:sz w:val="24"/>
              </w:rPr>
              <w:t>E-mail</w:t>
            </w:r>
          </w:p>
        </w:tc>
      </w:tr>
      <w:tr w14:paraId="6347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32" w:type="dxa"/>
            <w:noWrap/>
            <w:vAlign w:val="center"/>
          </w:tcPr>
          <w:p w14:paraId="088EBB34">
            <w:pPr>
              <w:spacing w:line="360" w:lineRule="exact"/>
              <w:ind w:right="84" w:rightChars="38"/>
              <w:jc w:val="both"/>
              <w:rPr>
                <w:rFonts w:ascii="仿宋" w:hAnsi="仿宋" w:eastAsia="仿宋" w:cs="仿宋"/>
                <w:bCs/>
                <w:sz w:val="24"/>
              </w:rPr>
            </w:pPr>
          </w:p>
        </w:tc>
        <w:tc>
          <w:tcPr>
            <w:tcW w:w="771" w:type="dxa"/>
            <w:noWrap/>
            <w:vAlign w:val="center"/>
          </w:tcPr>
          <w:p w14:paraId="3F1D2FE8">
            <w:pPr>
              <w:spacing w:line="360" w:lineRule="exact"/>
              <w:ind w:right="84" w:rightChars="38"/>
              <w:jc w:val="both"/>
              <w:rPr>
                <w:rFonts w:ascii="仿宋" w:hAnsi="仿宋" w:eastAsia="仿宋" w:cs="仿宋"/>
                <w:bCs/>
                <w:sz w:val="24"/>
              </w:rPr>
            </w:pPr>
          </w:p>
        </w:tc>
        <w:tc>
          <w:tcPr>
            <w:tcW w:w="1374" w:type="dxa"/>
            <w:noWrap/>
            <w:vAlign w:val="center"/>
          </w:tcPr>
          <w:p w14:paraId="1F248DFD">
            <w:pPr>
              <w:spacing w:line="360" w:lineRule="exact"/>
              <w:ind w:right="84" w:rightChars="38"/>
              <w:jc w:val="both"/>
              <w:rPr>
                <w:rFonts w:ascii="仿宋" w:hAnsi="仿宋" w:eastAsia="仿宋" w:cs="仿宋"/>
                <w:bCs/>
                <w:sz w:val="24"/>
              </w:rPr>
            </w:pPr>
          </w:p>
        </w:tc>
        <w:tc>
          <w:tcPr>
            <w:tcW w:w="1418" w:type="dxa"/>
            <w:noWrap/>
            <w:vAlign w:val="center"/>
          </w:tcPr>
          <w:p w14:paraId="4772C160">
            <w:pPr>
              <w:spacing w:line="360" w:lineRule="exact"/>
              <w:ind w:right="84" w:rightChars="38"/>
              <w:jc w:val="both"/>
              <w:rPr>
                <w:rFonts w:ascii="仿宋" w:hAnsi="仿宋" w:eastAsia="仿宋" w:cs="仿宋"/>
                <w:bCs/>
                <w:sz w:val="24"/>
              </w:rPr>
            </w:pPr>
          </w:p>
        </w:tc>
        <w:tc>
          <w:tcPr>
            <w:tcW w:w="1984" w:type="dxa"/>
            <w:gridSpan w:val="3"/>
            <w:noWrap/>
            <w:vAlign w:val="center"/>
          </w:tcPr>
          <w:p w14:paraId="4A1B7F69">
            <w:pPr>
              <w:spacing w:line="360" w:lineRule="exact"/>
              <w:ind w:right="84" w:rightChars="38"/>
              <w:jc w:val="both"/>
              <w:rPr>
                <w:rFonts w:ascii="仿宋" w:hAnsi="仿宋" w:eastAsia="仿宋" w:cs="仿宋"/>
                <w:bCs/>
                <w:sz w:val="24"/>
              </w:rPr>
            </w:pPr>
          </w:p>
        </w:tc>
        <w:tc>
          <w:tcPr>
            <w:tcW w:w="1447" w:type="dxa"/>
            <w:gridSpan w:val="2"/>
            <w:noWrap/>
            <w:vAlign w:val="center"/>
          </w:tcPr>
          <w:p w14:paraId="50EB1FBF">
            <w:pPr>
              <w:spacing w:line="360" w:lineRule="exact"/>
              <w:ind w:right="84" w:rightChars="38"/>
              <w:jc w:val="both"/>
              <w:rPr>
                <w:rFonts w:ascii="仿宋" w:hAnsi="仿宋" w:eastAsia="仿宋" w:cs="仿宋"/>
                <w:bCs/>
                <w:sz w:val="24"/>
              </w:rPr>
            </w:pPr>
          </w:p>
        </w:tc>
      </w:tr>
      <w:tr w14:paraId="4BC4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32" w:type="dxa"/>
            <w:noWrap/>
            <w:vAlign w:val="center"/>
          </w:tcPr>
          <w:p w14:paraId="02A56469">
            <w:pPr>
              <w:spacing w:line="360" w:lineRule="exact"/>
              <w:ind w:right="84" w:rightChars="38"/>
              <w:jc w:val="both"/>
              <w:rPr>
                <w:rFonts w:ascii="仿宋" w:hAnsi="仿宋" w:eastAsia="仿宋" w:cs="仿宋"/>
                <w:bCs/>
                <w:sz w:val="24"/>
              </w:rPr>
            </w:pPr>
          </w:p>
        </w:tc>
        <w:tc>
          <w:tcPr>
            <w:tcW w:w="771" w:type="dxa"/>
            <w:noWrap/>
            <w:vAlign w:val="center"/>
          </w:tcPr>
          <w:p w14:paraId="31B52C1B">
            <w:pPr>
              <w:spacing w:line="360" w:lineRule="exact"/>
              <w:ind w:right="84" w:rightChars="38"/>
              <w:jc w:val="both"/>
              <w:rPr>
                <w:rFonts w:ascii="仿宋" w:hAnsi="仿宋" w:eastAsia="仿宋" w:cs="仿宋"/>
                <w:bCs/>
                <w:sz w:val="24"/>
              </w:rPr>
            </w:pPr>
          </w:p>
        </w:tc>
        <w:tc>
          <w:tcPr>
            <w:tcW w:w="1374" w:type="dxa"/>
            <w:noWrap/>
            <w:vAlign w:val="center"/>
          </w:tcPr>
          <w:p w14:paraId="31A4FDDB">
            <w:pPr>
              <w:spacing w:line="360" w:lineRule="exact"/>
              <w:ind w:right="84" w:rightChars="38"/>
              <w:jc w:val="both"/>
              <w:rPr>
                <w:rFonts w:ascii="仿宋" w:hAnsi="仿宋" w:eastAsia="仿宋" w:cs="仿宋"/>
                <w:bCs/>
                <w:sz w:val="24"/>
              </w:rPr>
            </w:pPr>
          </w:p>
        </w:tc>
        <w:tc>
          <w:tcPr>
            <w:tcW w:w="1418" w:type="dxa"/>
            <w:noWrap/>
            <w:vAlign w:val="center"/>
          </w:tcPr>
          <w:p w14:paraId="527988C7">
            <w:pPr>
              <w:spacing w:line="360" w:lineRule="exact"/>
              <w:ind w:right="84" w:rightChars="38"/>
              <w:jc w:val="both"/>
              <w:rPr>
                <w:rFonts w:ascii="仿宋" w:hAnsi="仿宋" w:eastAsia="仿宋" w:cs="仿宋"/>
                <w:bCs/>
                <w:sz w:val="24"/>
              </w:rPr>
            </w:pPr>
          </w:p>
        </w:tc>
        <w:tc>
          <w:tcPr>
            <w:tcW w:w="1984" w:type="dxa"/>
            <w:gridSpan w:val="3"/>
            <w:noWrap/>
            <w:vAlign w:val="center"/>
          </w:tcPr>
          <w:p w14:paraId="2DE98D31">
            <w:pPr>
              <w:spacing w:line="360" w:lineRule="exact"/>
              <w:ind w:right="84" w:rightChars="38"/>
              <w:jc w:val="both"/>
              <w:rPr>
                <w:rFonts w:ascii="仿宋" w:hAnsi="仿宋" w:eastAsia="仿宋" w:cs="仿宋"/>
                <w:bCs/>
                <w:sz w:val="24"/>
              </w:rPr>
            </w:pPr>
          </w:p>
        </w:tc>
        <w:tc>
          <w:tcPr>
            <w:tcW w:w="1447" w:type="dxa"/>
            <w:gridSpan w:val="2"/>
            <w:noWrap/>
            <w:vAlign w:val="center"/>
          </w:tcPr>
          <w:p w14:paraId="43B13EC2">
            <w:pPr>
              <w:spacing w:line="360" w:lineRule="exact"/>
              <w:ind w:right="84" w:rightChars="38"/>
              <w:jc w:val="both"/>
              <w:rPr>
                <w:rFonts w:ascii="仿宋" w:hAnsi="仿宋" w:eastAsia="仿宋" w:cs="仿宋"/>
                <w:bCs/>
                <w:sz w:val="24"/>
              </w:rPr>
            </w:pPr>
          </w:p>
        </w:tc>
      </w:tr>
      <w:tr w14:paraId="4D617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32" w:type="dxa"/>
            <w:noWrap/>
            <w:vAlign w:val="center"/>
          </w:tcPr>
          <w:p w14:paraId="54DC938B">
            <w:pPr>
              <w:spacing w:line="360" w:lineRule="exact"/>
              <w:ind w:right="84" w:rightChars="38"/>
              <w:jc w:val="both"/>
              <w:rPr>
                <w:rFonts w:ascii="仿宋" w:hAnsi="仿宋" w:eastAsia="仿宋" w:cs="仿宋"/>
                <w:bCs/>
                <w:sz w:val="24"/>
              </w:rPr>
            </w:pPr>
          </w:p>
        </w:tc>
        <w:tc>
          <w:tcPr>
            <w:tcW w:w="771" w:type="dxa"/>
            <w:noWrap/>
            <w:vAlign w:val="center"/>
          </w:tcPr>
          <w:p w14:paraId="049E435D">
            <w:pPr>
              <w:spacing w:line="360" w:lineRule="exact"/>
              <w:ind w:right="84" w:rightChars="38"/>
              <w:jc w:val="both"/>
              <w:rPr>
                <w:rFonts w:ascii="仿宋" w:hAnsi="仿宋" w:eastAsia="仿宋" w:cs="仿宋"/>
                <w:bCs/>
                <w:sz w:val="24"/>
              </w:rPr>
            </w:pPr>
          </w:p>
        </w:tc>
        <w:tc>
          <w:tcPr>
            <w:tcW w:w="1374" w:type="dxa"/>
            <w:noWrap/>
            <w:vAlign w:val="center"/>
          </w:tcPr>
          <w:p w14:paraId="543D57B9">
            <w:pPr>
              <w:spacing w:line="360" w:lineRule="exact"/>
              <w:ind w:right="84" w:rightChars="38"/>
              <w:jc w:val="both"/>
              <w:rPr>
                <w:rFonts w:ascii="仿宋" w:hAnsi="仿宋" w:eastAsia="仿宋" w:cs="仿宋"/>
                <w:bCs/>
                <w:sz w:val="24"/>
              </w:rPr>
            </w:pPr>
          </w:p>
        </w:tc>
        <w:tc>
          <w:tcPr>
            <w:tcW w:w="1418" w:type="dxa"/>
            <w:noWrap/>
            <w:vAlign w:val="center"/>
          </w:tcPr>
          <w:p w14:paraId="03B518D5">
            <w:pPr>
              <w:spacing w:line="360" w:lineRule="exact"/>
              <w:ind w:right="84" w:rightChars="38"/>
              <w:jc w:val="both"/>
              <w:rPr>
                <w:rFonts w:ascii="仿宋" w:hAnsi="仿宋" w:eastAsia="仿宋" w:cs="仿宋"/>
                <w:bCs/>
                <w:sz w:val="24"/>
              </w:rPr>
            </w:pPr>
          </w:p>
        </w:tc>
        <w:tc>
          <w:tcPr>
            <w:tcW w:w="1984" w:type="dxa"/>
            <w:gridSpan w:val="3"/>
            <w:noWrap/>
            <w:vAlign w:val="center"/>
          </w:tcPr>
          <w:p w14:paraId="09F26078">
            <w:pPr>
              <w:spacing w:line="360" w:lineRule="exact"/>
              <w:ind w:right="84" w:rightChars="38"/>
              <w:jc w:val="both"/>
              <w:rPr>
                <w:rFonts w:ascii="仿宋" w:hAnsi="仿宋" w:eastAsia="仿宋" w:cs="仿宋"/>
                <w:bCs/>
                <w:sz w:val="24"/>
              </w:rPr>
            </w:pPr>
          </w:p>
        </w:tc>
        <w:tc>
          <w:tcPr>
            <w:tcW w:w="1447" w:type="dxa"/>
            <w:gridSpan w:val="2"/>
            <w:noWrap/>
            <w:vAlign w:val="center"/>
          </w:tcPr>
          <w:p w14:paraId="13BD7370">
            <w:pPr>
              <w:spacing w:line="360" w:lineRule="exact"/>
              <w:ind w:right="84" w:rightChars="38"/>
              <w:jc w:val="both"/>
              <w:rPr>
                <w:rFonts w:ascii="仿宋" w:hAnsi="仿宋" w:eastAsia="仿宋" w:cs="仿宋"/>
                <w:bCs/>
                <w:sz w:val="24"/>
              </w:rPr>
            </w:pPr>
          </w:p>
        </w:tc>
      </w:tr>
      <w:tr w14:paraId="0D5A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32" w:type="dxa"/>
            <w:noWrap/>
            <w:vAlign w:val="center"/>
          </w:tcPr>
          <w:p w14:paraId="1B55C4BC">
            <w:pPr>
              <w:spacing w:line="360" w:lineRule="exact"/>
              <w:ind w:right="84" w:rightChars="38"/>
              <w:jc w:val="both"/>
              <w:rPr>
                <w:rFonts w:ascii="仿宋" w:hAnsi="仿宋" w:eastAsia="仿宋" w:cs="仿宋"/>
                <w:bCs/>
                <w:sz w:val="24"/>
              </w:rPr>
            </w:pPr>
          </w:p>
        </w:tc>
        <w:tc>
          <w:tcPr>
            <w:tcW w:w="771" w:type="dxa"/>
            <w:noWrap/>
            <w:vAlign w:val="center"/>
          </w:tcPr>
          <w:p w14:paraId="55ABC0B3">
            <w:pPr>
              <w:spacing w:line="360" w:lineRule="exact"/>
              <w:ind w:right="84" w:rightChars="38"/>
              <w:jc w:val="both"/>
              <w:rPr>
                <w:rFonts w:ascii="仿宋" w:hAnsi="仿宋" w:eastAsia="仿宋" w:cs="仿宋"/>
                <w:bCs/>
                <w:sz w:val="24"/>
              </w:rPr>
            </w:pPr>
          </w:p>
        </w:tc>
        <w:tc>
          <w:tcPr>
            <w:tcW w:w="1374" w:type="dxa"/>
            <w:noWrap/>
            <w:vAlign w:val="center"/>
          </w:tcPr>
          <w:p w14:paraId="3083A593">
            <w:pPr>
              <w:spacing w:line="360" w:lineRule="exact"/>
              <w:ind w:right="84" w:rightChars="38"/>
              <w:jc w:val="both"/>
              <w:rPr>
                <w:rFonts w:ascii="仿宋" w:hAnsi="仿宋" w:eastAsia="仿宋" w:cs="仿宋"/>
                <w:bCs/>
                <w:sz w:val="24"/>
              </w:rPr>
            </w:pPr>
          </w:p>
        </w:tc>
        <w:tc>
          <w:tcPr>
            <w:tcW w:w="1418" w:type="dxa"/>
            <w:noWrap/>
            <w:vAlign w:val="center"/>
          </w:tcPr>
          <w:p w14:paraId="0684963B">
            <w:pPr>
              <w:spacing w:line="360" w:lineRule="exact"/>
              <w:ind w:right="84" w:rightChars="38"/>
              <w:jc w:val="both"/>
              <w:rPr>
                <w:rFonts w:ascii="仿宋" w:hAnsi="仿宋" w:eastAsia="仿宋" w:cs="仿宋"/>
                <w:bCs/>
                <w:sz w:val="24"/>
              </w:rPr>
            </w:pPr>
          </w:p>
        </w:tc>
        <w:tc>
          <w:tcPr>
            <w:tcW w:w="1984" w:type="dxa"/>
            <w:gridSpan w:val="3"/>
            <w:noWrap/>
            <w:vAlign w:val="center"/>
          </w:tcPr>
          <w:p w14:paraId="0CFC889E">
            <w:pPr>
              <w:spacing w:line="360" w:lineRule="exact"/>
              <w:ind w:right="84" w:rightChars="38"/>
              <w:jc w:val="both"/>
              <w:rPr>
                <w:rFonts w:ascii="仿宋" w:hAnsi="仿宋" w:eastAsia="仿宋" w:cs="仿宋"/>
                <w:bCs/>
                <w:sz w:val="24"/>
              </w:rPr>
            </w:pPr>
          </w:p>
        </w:tc>
        <w:tc>
          <w:tcPr>
            <w:tcW w:w="1447" w:type="dxa"/>
            <w:gridSpan w:val="2"/>
            <w:noWrap/>
            <w:vAlign w:val="center"/>
          </w:tcPr>
          <w:p w14:paraId="0E17B422">
            <w:pPr>
              <w:spacing w:line="360" w:lineRule="exact"/>
              <w:ind w:right="84" w:rightChars="38"/>
              <w:jc w:val="both"/>
              <w:rPr>
                <w:rFonts w:ascii="仿宋" w:hAnsi="仿宋" w:eastAsia="仿宋" w:cs="仿宋"/>
                <w:bCs/>
                <w:sz w:val="24"/>
              </w:rPr>
            </w:pPr>
          </w:p>
        </w:tc>
      </w:tr>
      <w:tr w14:paraId="51E8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32" w:type="dxa"/>
            <w:noWrap/>
            <w:vAlign w:val="center"/>
          </w:tcPr>
          <w:p w14:paraId="53E64FDB">
            <w:pPr>
              <w:spacing w:line="360" w:lineRule="exact"/>
              <w:ind w:right="84" w:rightChars="38"/>
              <w:jc w:val="both"/>
              <w:rPr>
                <w:rFonts w:ascii="仿宋" w:hAnsi="仿宋" w:eastAsia="仿宋" w:cs="仿宋"/>
                <w:bCs/>
                <w:sz w:val="24"/>
              </w:rPr>
            </w:pPr>
          </w:p>
        </w:tc>
        <w:tc>
          <w:tcPr>
            <w:tcW w:w="771" w:type="dxa"/>
            <w:noWrap/>
            <w:vAlign w:val="center"/>
          </w:tcPr>
          <w:p w14:paraId="5E13B6FC">
            <w:pPr>
              <w:spacing w:line="360" w:lineRule="exact"/>
              <w:ind w:right="84" w:rightChars="38"/>
              <w:jc w:val="both"/>
              <w:rPr>
                <w:rFonts w:ascii="仿宋" w:hAnsi="仿宋" w:eastAsia="仿宋" w:cs="仿宋"/>
                <w:bCs/>
                <w:sz w:val="24"/>
              </w:rPr>
            </w:pPr>
          </w:p>
        </w:tc>
        <w:tc>
          <w:tcPr>
            <w:tcW w:w="1374" w:type="dxa"/>
            <w:noWrap/>
            <w:vAlign w:val="center"/>
          </w:tcPr>
          <w:p w14:paraId="4D1189F9">
            <w:pPr>
              <w:spacing w:line="360" w:lineRule="exact"/>
              <w:ind w:right="84" w:rightChars="38"/>
              <w:jc w:val="both"/>
              <w:rPr>
                <w:rFonts w:ascii="仿宋" w:hAnsi="仿宋" w:eastAsia="仿宋" w:cs="仿宋"/>
                <w:bCs/>
                <w:sz w:val="24"/>
              </w:rPr>
            </w:pPr>
          </w:p>
        </w:tc>
        <w:tc>
          <w:tcPr>
            <w:tcW w:w="1418" w:type="dxa"/>
            <w:noWrap/>
            <w:vAlign w:val="center"/>
          </w:tcPr>
          <w:p w14:paraId="20F4335D">
            <w:pPr>
              <w:spacing w:line="360" w:lineRule="exact"/>
              <w:ind w:right="84" w:rightChars="38"/>
              <w:jc w:val="both"/>
              <w:rPr>
                <w:rFonts w:ascii="仿宋" w:hAnsi="仿宋" w:eastAsia="仿宋" w:cs="仿宋"/>
                <w:bCs/>
                <w:sz w:val="24"/>
              </w:rPr>
            </w:pPr>
          </w:p>
        </w:tc>
        <w:tc>
          <w:tcPr>
            <w:tcW w:w="1984" w:type="dxa"/>
            <w:gridSpan w:val="3"/>
            <w:noWrap/>
            <w:vAlign w:val="center"/>
          </w:tcPr>
          <w:p w14:paraId="39A58897">
            <w:pPr>
              <w:spacing w:line="360" w:lineRule="exact"/>
              <w:ind w:right="84" w:rightChars="38"/>
              <w:jc w:val="both"/>
              <w:rPr>
                <w:rFonts w:ascii="仿宋" w:hAnsi="仿宋" w:eastAsia="仿宋" w:cs="仿宋"/>
                <w:bCs/>
                <w:sz w:val="24"/>
              </w:rPr>
            </w:pPr>
          </w:p>
        </w:tc>
        <w:tc>
          <w:tcPr>
            <w:tcW w:w="1447" w:type="dxa"/>
            <w:gridSpan w:val="2"/>
            <w:noWrap/>
            <w:vAlign w:val="center"/>
          </w:tcPr>
          <w:p w14:paraId="6A241CEB">
            <w:pPr>
              <w:spacing w:line="360" w:lineRule="exact"/>
              <w:ind w:right="84" w:rightChars="38"/>
              <w:jc w:val="both"/>
              <w:rPr>
                <w:rFonts w:ascii="仿宋" w:hAnsi="仿宋" w:eastAsia="仿宋" w:cs="仿宋"/>
                <w:bCs/>
                <w:sz w:val="24"/>
              </w:rPr>
            </w:pPr>
          </w:p>
        </w:tc>
      </w:tr>
      <w:tr w14:paraId="2AC9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932" w:type="dxa"/>
            <w:noWrap/>
            <w:vAlign w:val="center"/>
          </w:tcPr>
          <w:p w14:paraId="0F59EFFD">
            <w:pPr>
              <w:spacing w:line="360" w:lineRule="exact"/>
              <w:ind w:right="84" w:rightChars="38"/>
              <w:jc w:val="both"/>
              <w:rPr>
                <w:rFonts w:ascii="仿宋" w:hAnsi="仿宋" w:eastAsia="仿宋" w:cs="仿宋"/>
                <w:bCs/>
                <w:sz w:val="24"/>
              </w:rPr>
            </w:pPr>
          </w:p>
        </w:tc>
        <w:tc>
          <w:tcPr>
            <w:tcW w:w="771" w:type="dxa"/>
            <w:noWrap/>
            <w:vAlign w:val="center"/>
          </w:tcPr>
          <w:p w14:paraId="714E04A4">
            <w:pPr>
              <w:spacing w:line="360" w:lineRule="exact"/>
              <w:ind w:right="84" w:rightChars="38"/>
              <w:jc w:val="both"/>
              <w:rPr>
                <w:rFonts w:ascii="仿宋" w:hAnsi="仿宋" w:eastAsia="仿宋" w:cs="仿宋"/>
                <w:bCs/>
                <w:sz w:val="24"/>
              </w:rPr>
            </w:pPr>
          </w:p>
        </w:tc>
        <w:tc>
          <w:tcPr>
            <w:tcW w:w="1374" w:type="dxa"/>
            <w:noWrap/>
            <w:vAlign w:val="center"/>
          </w:tcPr>
          <w:p w14:paraId="69B8C9D4">
            <w:pPr>
              <w:spacing w:line="360" w:lineRule="exact"/>
              <w:ind w:right="84" w:rightChars="38"/>
              <w:jc w:val="both"/>
              <w:rPr>
                <w:rFonts w:ascii="仿宋" w:hAnsi="仿宋" w:eastAsia="仿宋" w:cs="仿宋"/>
                <w:bCs/>
                <w:sz w:val="24"/>
              </w:rPr>
            </w:pPr>
          </w:p>
        </w:tc>
        <w:tc>
          <w:tcPr>
            <w:tcW w:w="1418" w:type="dxa"/>
            <w:noWrap/>
            <w:vAlign w:val="center"/>
          </w:tcPr>
          <w:p w14:paraId="197582CC">
            <w:pPr>
              <w:spacing w:line="360" w:lineRule="exact"/>
              <w:ind w:right="84" w:rightChars="38"/>
              <w:jc w:val="both"/>
              <w:rPr>
                <w:rFonts w:ascii="仿宋" w:hAnsi="仿宋" w:eastAsia="仿宋" w:cs="仿宋"/>
                <w:bCs/>
                <w:sz w:val="24"/>
              </w:rPr>
            </w:pPr>
          </w:p>
        </w:tc>
        <w:tc>
          <w:tcPr>
            <w:tcW w:w="1984" w:type="dxa"/>
            <w:gridSpan w:val="3"/>
            <w:noWrap/>
            <w:vAlign w:val="center"/>
          </w:tcPr>
          <w:p w14:paraId="4604FFCE">
            <w:pPr>
              <w:spacing w:line="360" w:lineRule="exact"/>
              <w:ind w:right="84" w:rightChars="38"/>
              <w:jc w:val="both"/>
              <w:rPr>
                <w:rFonts w:ascii="仿宋" w:hAnsi="仿宋" w:eastAsia="仿宋" w:cs="仿宋"/>
                <w:bCs/>
                <w:sz w:val="24"/>
              </w:rPr>
            </w:pPr>
          </w:p>
        </w:tc>
        <w:tc>
          <w:tcPr>
            <w:tcW w:w="1447" w:type="dxa"/>
            <w:gridSpan w:val="2"/>
            <w:noWrap/>
            <w:vAlign w:val="center"/>
          </w:tcPr>
          <w:p w14:paraId="0CCAAD4C">
            <w:pPr>
              <w:spacing w:line="360" w:lineRule="exact"/>
              <w:ind w:right="84" w:rightChars="38"/>
              <w:jc w:val="both"/>
              <w:rPr>
                <w:rFonts w:ascii="仿宋" w:hAnsi="仿宋" w:eastAsia="仿宋" w:cs="仿宋"/>
                <w:bCs/>
                <w:sz w:val="24"/>
              </w:rPr>
            </w:pPr>
          </w:p>
        </w:tc>
      </w:tr>
      <w:tr w14:paraId="3CE7B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932" w:type="dxa"/>
            <w:noWrap/>
            <w:vAlign w:val="center"/>
          </w:tcPr>
          <w:p w14:paraId="35864FAB">
            <w:pPr>
              <w:spacing w:line="360" w:lineRule="exact"/>
              <w:ind w:right="84" w:rightChars="38"/>
              <w:jc w:val="both"/>
              <w:rPr>
                <w:rFonts w:ascii="仿宋" w:hAnsi="仿宋" w:eastAsia="仿宋" w:cs="仿宋"/>
                <w:bCs/>
                <w:sz w:val="24"/>
              </w:rPr>
            </w:pPr>
          </w:p>
        </w:tc>
        <w:tc>
          <w:tcPr>
            <w:tcW w:w="771" w:type="dxa"/>
            <w:noWrap/>
            <w:vAlign w:val="center"/>
          </w:tcPr>
          <w:p w14:paraId="1C5514B1">
            <w:pPr>
              <w:spacing w:line="360" w:lineRule="exact"/>
              <w:ind w:right="84" w:rightChars="38"/>
              <w:jc w:val="both"/>
              <w:rPr>
                <w:rFonts w:ascii="仿宋" w:hAnsi="仿宋" w:eastAsia="仿宋" w:cs="仿宋"/>
                <w:bCs/>
                <w:sz w:val="24"/>
              </w:rPr>
            </w:pPr>
          </w:p>
        </w:tc>
        <w:tc>
          <w:tcPr>
            <w:tcW w:w="1374" w:type="dxa"/>
            <w:noWrap/>
            <w:vAlign w:val="center"/>
          </w:tcPr>
          <w:p w14:paraId="46924F52">
            <w:pPr>
              <w:spacing w:line="360" w:lineRule="exact"/>
              <w:ind w:right="84" w:rightChars="38"/>
              <w:jc w:val="both"/>
              <w:rPr>
                <w:rFonts w:ascii="仿宋" w:hAnsi="仿宋" w:eastAsia="仿宋" w:cs="仿宋"/>
                <w:bCs/>
                <w:sz w:val="24"/>
              </w:rPr>
            </w:pPr>
          </w:p>
        </w:tc>
        <w:tc>
          <w:tcPr>
            <w:tcW w:w="1418" w:type="dxa"/>
            <w:noWrap/>
            <w:vAlign w:val="center"/>
          </w:tcPr>
          <w:p w14:paraId="260A064F">
            <w:pPr>
              <w:spacing w:line="360" w:lineRule="exact"/>
              <w:ind w:right="84" w:rightChars="38"/>
              <w:jc w:val="both"/>
              <w:rPr>
                <w:rFonts w:ascii="仿宋" w:hAnsi="仿宋" w:eastAsia="仿宋" w:cs="仿宋"/>
                <w:bCs/>
                <w:sz w:val="24"/>
              </w:rPr>
            </w:pPr>
          </w:p>
        </w:tc>
        <w:tc>
          <w:tcPr>
            <w:tcW w:w="1984" w:type="dxa"/>
            <w:gridSpan w:val="3"/>
            <w:noWrap/>
            <w:vAlign w:val="center"/>
          </w:tcPr>
          <w:p w14:paraId="62F7C464">
            <w:pPr>
              <w:spacing w:line="360" w:lineRule="exact"/>
              <w:ind w:right="84" w:rightChars="38"/>
              <w:jc w:val="both"/>
              <w:rPr>
                <w:rFonts w:ascii="仿宋" w:hAnsi="仿宋" w:eastAsia="仿宋" w:cs="仿宋"/>
                <w:bCs/>
                <w:sz w:val="24"/>
              </w:rPr>
            </w:pPr>
          </w:p>
        </w:tc>
        <w:tc>
          <w:tcPr>
            <w:tcW w:w="1447" w:type="dxa"/>
            <w:gridSpan w:val="2"/>
            <w:noWrap/>
            <w:vAlign w:val="center"/>
          </w:tcPr>
          <w:p w14:paraId="632B8A08">
            <w:pPr>
              <w:spacing w:line="360" w:lineRule="exact"/>
              <w:ind w:right="84" w:rightChars="38"/>
              <w:jc w:val="both"/>
              <w:rPr>
                <w:rFonts w:ascii="仿宋" w:hAnsi="仿宋" w:eastAsia="仿宋" w:cs="仿宋"/>
                <w:bCs/>
                <w:sz w:val="24"/>
              </w:rPr>
            </w:pPr>
          </w:p>
        </w:tc>
      </w:tr>
      <w:tr w14:paraId="0B0A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932" w:type="dxa"/>
            <w:noWrap/>
            <w:vAlign w:val="center"/>
          </w:tcPr>
          <w:p w14:paraId="3B3F084E">
            <w:pPr>
              <w:spacing w:after="0" w:line="240" w:lineRule="auto"/>
              <w:ind w:right="0" w:rightChars="0"/>
              <w:jc w:val="both"/>
              <w:rPr>
                <w:rFonts w:ascii="仿宋" w:hAnsi="仿宋" w:eastAsia="仿宋" w:cs="仿宋"/>
                <w:bCs/>
                <w:sz w:val="24"/>
              </w:rPr>
            </w:pPr>
            <w:r>
              <w:rPr>
                <w:rFonts w:hint="eastAsia" w:ascii="仿宋" w:hAnsi="仿宋" w:eastAsia="仿宋" w:cs="仿宋"/>
                <w:bCs/>
                <w:sz w:val="24"/>
              </w:rPr>
              <w:t>住宿安排</w:t>
            </w:r>
          </w:p>
        </w:tc>
        <w:tc>
          <w:tcPr>
            <w:tcW w:w="6994" w:type="dxa"/>
            <w:gridSpan w:val="8"/>
            <w:noWrap/>
            <w:vAlign w:val="center"/>
          </w:tcPr>
          <w:p w14:paraId="5F0A9C47">
            <w:pPr>
              <w:spacing w:after="0" w:line="240" w:lineRule="auto"/>
              <w:ind w:right="0" w:rightChars="0"/>
              <w:jc w:val="both"/>
              <w:rPr>
                <w:rFonts w:ascii="仿宋" w:hAnsi="仿宋" w:eastAsia="仿宋" w:cs="仿宋"/>
                <w:bCs/>
                <w:sz w:val="24"/>
              </w:rPr>
            </w:pPr>
            <w:r>
              <w:rPr>
                <w:rFonts w:hint="eastAsia" w:ascii="仿宋" w:hAnsi="仿宋" w:eastAsia="仿宋" w:cs="仿宋"/>
                <w:bCs/>
                <w:sz w:val="24"/>
              </w:rPr>
              <w:t>□单间     □标间   订房数量</w:t>
            </w:r>
            <w:r>
              <w:rPr>
                <w:rFonts w:hint="eastAsia" w:ascii="仿宋" w:hAnsi="仿宋" w:eastAsia="仿宋" w:cs="仿宋"/>
                <w:bCs/>
                <w:sz w:val="24"/>
                <w:u w:val="single"/>
              </w:rPr>
              <w:t xml:space="preserve">    </w:t>
            </w:r>
            <w:r>
              <w:rPr>
                <w:rFonts w:hint="eastAsia" w:ascii="仿宋" w:hAnsi="仿宋" w:eastAsia="仿宋" w:cs="仿宋"/>
                <w:bCs/>
                <w:sz w:val="24"/>
              </w:rPr>
              <w:t xml:space="preserve">间    □否    </w:t>
            </w:r>
            <w:r>
              <w:rPr>
                <w:rFonts w:hint="eastAsia" w:ascii="仿宋" w:hAnsi="仿宋" w:eastAsia="仿宋" w:cs="仿宋"/>
                <w:bCs/>
                <w:sz w:val="24"/>
              </w:rPr>
              <w:sym w:font="Wingdings 2" w:char="00A3"/>
            </w:r>
            <w:r>
              <w:rPr>
                <w:rFonts w:hint="eastAsia" w:ascii="仿宋" w:hAnsi="仿宋" w:eastAsia="仿宋" w:cs="仿宋"/>
                <w:bCs/>
                <w:sz w:val="24"/>
              </w:rPr>
              <w:t>自行安排</w:t>
            </w:r>
          </w:p>
        </w:tc>
      </w:tr>
      <w:tr w14:paraId="14842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932" w:type="dxa"/>
            <w:noWrap/>
            <w:vAlign w:val="center"/>
          </w:tcPr>
          <w:p w14:paraId="2641AFD1">
            <w:pPr>
              <w:spacing w:after="0" w:line="240" w:lineRule="auto"/>
              <w:ind w:right="0" w:rightChars="0"/>
              <w:jc w:val="both"/>
              <w:rPr>
                <w:rFonts w:hint="eastAsia" w:ascii="仿宋" w:hAnsi="仿宋" w:eastAsia="仿宋" w:cs="仿宋"/>
                <w:bCs/>
                <w:sz w:val="24"/>
              </w:rPr>
            </w:pPr>
            <w:r>
              <w:rPr>
                <w:rFonts w:hint="eastAsia" w:ascii="仿宋" w:hAnsi="仿宋" w:eastAsia="仿宋" w:cs="仿宋"/>
                <w:bCs/>
                <w:sz w:val="24"/>
              </w:rPr>
              <w:t>参会地点</w:t>
            </w:r>
          </w:p>
        </w:tc>
        <w:tc>
          <w:tcPr>
            <w:tcW w:w="4365" w:type="dxa"/>
            <w:gridSpan w:val="4"/>
            <w:noWrap/>
            <w:vAlign w:val="center"/>
          </w:tcPr>
          <w:p w14:paraId="62C05DB3">
            <w:pPr>
              <w:spacing w:after="0" w:line="240" w:lineRule="auto"/>
              <w:ind w:right="0" w:rightChars="0"/>
              <w:jc w:val="both"/>
              <w:rPr>
                <w:rFonts w:hint="default" w:ascii="仿宋" w:hAnsi="仿宋" w:eastAsia="仿宋" w:cs="仿宋"/>
                <w:bCs/>
                <w:sz w:val="24"/>
                <w:lang w:val="en-US" w:eastAsia="zh-CN"/>
              </w:rPr>
            </w:pPr>
            <w:r>
              <w:rPr>
                <w:rFonts w:hint="eastAsia" w:ascii="仿宋" w:hAnsi="仿宋" w:eastAsia="仿宋" w:cs="仿宋"/>
                <w:bCs/>
                <w:sz w:val="24"/>
              </w:rPr>
              <w:sym w:font="Wingdings 2" w:char="00A3"/>
            </w:r>
            <w:r>
              <w:rPr>
                <w:rFonts w:hint="eastAsia" w:ascii="仿宋" w:hAnsi="仿宋" w:eastAsia="仿宋" w:cs="仿宋"/>
                <w:bCs/>
                <w:sz w:val="24"/>
                <w:lang w:val="en-US" w:eastAsia="zh-CN"/>
              </w:rPr>
              <w:t xml:space="preserve">乌鲁木齐  </w:t>
            </w:r>
            <w:r>
              <w:rPr>
                <w:rFonts w:hint="eastAsia" w:ascii="仿宋" w:hAnsi="仿宋" w:eastAsia="仿宋" w:cs="仿宋"/>
                <w:bCs/>
                <w:sz w:val="24"/>
              </w:rPr>
              <w:sym w:font="Wingdings 2" w:char="00A3"/>
            </w:r>
            <w:r>
              <w:rPr>
                <w:rFonts w:hint="eastAsia" w:ascii="仿宋" w:hAnsi="仿宋" w:eastAsia="仿宋" w:cs="仿宋"/>
                <w:bCs/>
                <w:sz w:val="24"/>
                <w:lang w:val="en-US" w:eastAsia="zh-CN"/>
              </w:rPr>
              <w:t xml:space="preserve">太原  </w:t>
            </w:r>
            <w:r>
              <w:rPr>
                <w:rFonts w:hint="eastAsia" w:ascii="仿宋" w:hAnsi="仿宋" w:eastAsia="仿宋" w:cs="仿宋"/>
                <w:bCs/>
                <w:sz w:val="24"/>
              </w:rPr>
              <w:sym w:font="Wingdings 2" w:char="00A3"/>
            </w:r>
            <w:r>
              <w:rPr>
                <w:rFonts w:hint="eastAsia" w:ascii="仿宋" w:hAnsi="仿宋" w:eastAsia="仿宋" w:cs="仿宋"/>
                <w:bCs/>
                <w:sz w:val="24"/>
                <w:lang w:val="en-US" w:eastAsia="zh-CN"/>
              </w:rPr>
              <w:t xml:space="preserve">广州  </w:t>
            </w:r>
            <w:r>
              <w:rPr>
                <w:rFonts w:hint="eastAsia" w:ascii="仿宋" w:hAnsi="仿宋" w:eastAsia="仿宋" w:cs="仿宋"/>
                <w:bCs/>
                <w:sz w:val="24"/>
              </w:rPr>
              <w:sym w:font="Wingdings 2" w:char="00A3"/>
            </w:r>
            <w:r>
              <w:rPr>
                <w:rFonts w:hint="eastAsia" w:ascii="仿宋" w:hAnsi="仿宋" w:eastAsia="仿宋" w:cs="仿宋"/>
                <w:bCs/>
                <w:sz w:val="24"/>
                <w:lang w:val="en-US" w:eastAsia="zh-CN"/>
              </w:rPr>
              <w:t xml:space="preserve">郑州  </w:t>
            </w:r>
          </w:p>
        </w:tc>
        <w:tc>
          <w:tcPr>
            <w:tcW w:w="1680" w:type="dxa"/>
            <w:gridSpan w:val="3"/>
            <w:noWrap/>
            <w:vAlign w:val="center"/>
          </w:tcPr>
          <w:p w14:paraId="122D4F2F">
            <w:pPr>
              <w:spacing w:after="0" w:line="240" w:lineRule="auto"/>
              <w:ind w:right="0" w:rightChars="0"/>
              <w:jc w:val="both"/>
              <w:rPr>
                <w:rFonts w:hint="eastAsia" w:ascii="仿宋" w:hAnsi="仿宋" w:eastAsia="仿宋" w:cs="仿宋"/>
                <w:bCs/>
                <w:sz w:val="24"/>
              </w:rPr>
            </w:pPr>
            <w:r>
              <w:rPr>
                <w:rFonts w:hint="eastAsia" w:ascii="仿宋" w:hAnsi="仿宋" w:eastAsia="仿宋" w:cs="仿宋"/>
                <w:bCs/>
                <w:sz w:val="24"/>
              </w:rPr>
              <w:t>培训费用</w:t>
            </w:r>
          </w:p>
        </w:tc>
        <w:tc>
          <w:tcPr>
            <w:tcW w:w="949" w:type="dxa"/>
            <w:noWrap/>
            <w:vAlign w:val="center"/>
          </w:tcPr>
          <w:p w14:paraId="011A4CCE">
            <w:pPr>
              <w:spacing w:after="0" w:line="240" w:lineRule="auto"/>
              <w:ind w:right="0" w:rightChars="0"/>
              <w:jc w:val="both"/>
              <w:rPr>
                <w:rFonts w:hint="eastAsia" w:ascii="仿宋" w:hAnsi="仿宋" w:eastAsia="仿宋" w:cs="仿宋"/>
                <w:bCs/>
                <w:sz w:val="24"/>
              </w:rPr>
            </w:pPr>
          </w:p>
        </w:tc>
      </w:tr>
      <w:tr w14:paraId="2B0A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932" w:type="dxa"/>
            <w:noWrap/>
            <w:vAlign w:val="center"/>
          </w:tcPr>
          <w:p w14:paraId="6E223142">
            <w:pPr>
              <w:spacing w:after="0" w:line="240" w:lineRule="auto"/>
              <w:ind w:right="0" w:rightChars="0" w:firstLine="0" w:firstLineChars="0"/>
              <w:jc w:val="both"/>
              <w:rPr>
                <w:rFonts w:hint="eastAsia" w:ascii="仿宋" w:hAnsi="仿宋" w:eastAsia="仿宋" w:cs="仿宋"/>
                <w:bCs/>
                <w:sz w:val="24"/>
              </w:rPr>
            </w:pPr>
            <w:r>
              <w:rPr>
                <w:rFonts w:hint="eastAsia" w:ascii="仿宋" w:hAnsi="仿宋" w:eastAsia="仿宋" w:cs="仿宋"/>
                <w:bCs/>
                <w:sz w:val="24"/>
              </w:rPr>
              <w:t>付款方式</w:t>
            </w:r>
          </w:p>
        </w:tc>
        <w:tc>
          <w:tcPr>
            <w:tcW w:w="6994" w:type="dxa"/>
            <w:gridSpan w:val="8"/>
            <w:noWrap/>
            <w:vAlign w:val="center"/>
          </w:tcPr>
          <w:p w14:paraId="0EC6C63E">
            <w:pPr>
              <w:spacing w:after="0" w:line="240" w:lineRule="auto"/>
              <w:ind w:right="0" w:rightChars="0" w:firstLine="0" w:firstLineChars="0"/>
              <w:jc w:val="both"/>
              <w:rPr>
                <w:rFonts w:hint="eastAsia" w:ascii="仿宋" w:hAnsi="仿宋" w:eastAsia="仿宋" w:cs="仿宋"/>
                <w:bCs/>
                <w:sz w:val="24"/>
              </w:rPr>
            </w:pPr>
            <w:r>
              <w:rPr>
                <w:rFonts w:hint="eastAsia" w:ascii="仿宋" w:hAnsi="仿宋" w:eastAsia="仿宋" w:cs="仿宋"/>
                <w:bCs/>
                <w:sz w:val="24"/>
              </w:rPr>
              <w:t>□通过银行        □刷卡      □现金   □微信/支付宝</w:t>
            </w:r>
          </w:p>
        </w:tc>
      </w:tr>
      <w:tr w14:paraId="16761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trPr>
        <w:tc>
          <w:tcPr>
            <w:tcW w:w="1932" w:type="dxa"/>
            <w:noWrap/>
            <w:vAlign w:val="center"/>
          </w:tcPr>
          <w:p w14:paraId="706D5C4C">
            <w:pPr>
              <w:spacing w:after="0" w:line="240" w:lineRule="auto"/>
              <w:ind w:right="0" w:rightChars="0"/>
              <w:jc w:val="both"/>
              <w:rPr>
                <w:rFonts w:ascii="仿宋" w:hAnsi="仿宋" w:eastAsia="仿宋" w:cs="仿宋"/>
                <w:b/>
                <w:bCs/>
                <w:sz w:val="24"/>
                <w:lang w:val="zh-CN" w:bidi="zh-CN"/>
              </w:rPr>
            </w:pPr>
            <w:r>
              <w:rPr>
                <w:rFonts w:hint="eastAsia" w:ascii="仿宋" w:hAnsi="仿宋" w:eastAsia="仿宋" w:cs="仿宋"/>
                <w:b/>
                <w:bCs/>
                <w:sz w:val="24"/>
              </w:rPr>
              <w:t>发票类别</w:t>
            </w:r>
          </w:p>
        </w:tc>
        <w:tc>
          <w:tcPr>
            <w:tcW w:w="6994" w:type="dxa"/>
            <w:gridSpan w:val="8"/>
            <w:noWrap/>
            <w:vAlign w:val="top"/>
          </w:tcPr>
          <w:p w14:paraId="273DD93D">
            <w:pPr>
              <w:spacing w:after="0" w:afterAutospacing="0" w:line="240" w:lineRule="auto"/>
              <w:ind w:right="0" w:rightChars="0"/>
              <w:jc w:val="both"/>
              <w:rPr>
                <w:rFonts w:ascii="仿宋" w:hAnsi="仿宋" w:eastAsia="仿宋" w:cs="仿宋"/>
                <w:b/>
                <w:bCs/>
                <w:sz w:val="24"/>
              </w:rPr>
            </w:pPr>
            <w:r>
              <w:rPr>
                <w:rFonts w:hint="eastAsia" w:ascii="仿宋" w:hAnsi="仿宋" w:eastAsia="仿宋" w:cs="仿宋"/>
                <w:b/>
                <w:bCs/>
                <w:sz w:val="24"/>
              </w:rPr>
              <w:t>增值税（</w:t>
            </w:r>
            <w:r>
              <w:rPr>
                <w:rFonts w:hint="eastAsia" w:ascii="仿宋" w:hAnsi="仿宋" w:eastAsia="仿宋" w:cs="仿宋"/>
                <w:bCs/>
                <w:sz w:val="24"/>
              </w:rPr>
              <w:t>□</w:t>
            </w:r>
            <w:r>
              <w:rPr>
                <w:rFonts w:hint="eastAsia" w:ascii="仿宋" w:hAnsi="仿宋" w:eastAsia="仿宋" w:cs="仿宋"/>
                <w:b/>
                <w:bCs/>
                <w:sz w:val="24"/>
              </w:rPr>
              <w:t>普通□专用）发票,开票信息如下：</w:t>
            </w:r>
          </w:p>
          <w:p w14:paraId="5433F648">
            <w:pPr>
              <w:spacing w:beforeAutospacing="0" w:after="0" w:afterAutospacing="0" w:line="240" w:lineRule="auto"/>
              <w:ind w:right="0" w:rightChars="0"/>
              <w:jc w:val="both"/>
              <w:rPr>
                <w:rFonts w:ascii="仿宋" w:hAnsi="仿宋" w:eastAsia="仿宋" w:cs="仿宋"/>
                <w:b/>
                <w:bCs/>
                <w:sz w:val="24"/>
              </w:rPr>
            </w:pPr>
            <w:r>
              <w:rPr>
                <w:rFonts w:hint="eastAsia" w:ascii="仿宋" w:hAnsi="仿宋" w:eastAsia="仿宋" w:cs="仿宋"/>
                <w:b/>
                <w:bCs/>
                <w:sz w:val="24"/>
              </w:rPr>
              <w:t>单 位 名 称：</w:t>
            </w:r>
          </w:p>
          <w:p w14:paraId="7AB1B4FE">
            <w:pPr>
              <w:spacing w:beforeAutospacing="0" w:after="0" w:line="240" w:lineRule="auto"/>
              <w:ind w:right="0" w:rightChars="0"/>
              <w:jc w:val="both"/>
              <w:rPr>
                <w:rFonts w:ascii="仿宋" w:hAnsi="仿宋" w:eastAsia="仿宋" w:cs="仿宋"/>
                <w:b/>
                <w:bCs/>
                <w:sz w:val="24"/>
              </w:rPr>
            </w:pPr>
            <w:r>
              <w:rPr>
                <w:rFonts w:hint="eastAsia" w:ascii="仿宋" w:hAnsi="仿宋" w:eastAsia="仿宋" w:cs="仿宋"/>
                <w:b/>
                <w:bCs/>
                <w:sz w:val="24"/>
              </w:rPr>
              <w:t>税       号：</w:t>
            </w:r>
          </w:p>
          <w:p w14:paraId="3B2D1CCC">
            <w:pPr>
              <w:spacing w:after="0" w:afterAutospacing="0" w:line="240" w:lineRule="auto"/>
              <w:ind w:right="0" w:rightChars="0"/>
              <w:jc w:val="both"/>
              <w:rPr>
                <w:rFonts w:ascii="仿宋" w:hAnsi="仿宋" w:eastAsia="仿宋" w:cs="仿宋"/>
                <w:b/>
                <w:bCs/>
                <w:sz w:val="24"/>
              </w:rPr>
            </w:pPr>
            <w:r>
              <w:rPr>
                <w:rFonts w:hint="eastAsia" w:ascii="仿宋" w:hAnsi="仿宋" w:eastAsia="仿宋" w:cs="仿宋"/>
                <w:b/>
                <w:bCs/>
                <w:sz w:val="24"/>
              </w:rPr>
              <w:t>地址、 电话：</w:t>
            </w:r>
          </w:p>
          <w:p w14:paraId="3655CBE1">
            <w:pPr>
              <w:spacing w:beforeAutospacing="0" w:after="0" w:afterAutospacing="0" w:line="240" w:lineRule="auto"/>
              <w:ind w:right="0" w:rightChars="0"/>
              <w:jc w:val="both"/>
              <w:rPr>
                <w:rFonts w:ascii="仿宋" w:hAnsi="仿宋" w:eastAsia="仿宋" w:cs="仿宋"/>
                <w:bCs/>
                <w:sz w:val="24"/>
              </w:rPr>
            </w:pPr>
            <w:r>
              <w:rPr>
                <w:rFonts w:hint="eastAsia" w:ascii="仿宋" w:hAnsi="仿宋" w:eastAsia="仿宋" w:cs="仿宋"/>
                <w:b/>
                <w:bCs/>
                <w:sz w:val="24"/>
              </w:rPr>
              <w:t>开户行、账号：</w:t>
            </w:r>
          </w:p>
        </w:tc>
      </w:tr>
      <w:tr w14:paraId="7F52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1932" w:type="dxa"/>
            <w:noWrap/>
            <w:vAlign w:val="center"/>
          </w:tcPr>
          <w:p w14:paraId="6165B4E3">
            <w:pPr>
              <w:spacing w:after="0" w:line="240" w:lineRule="auto"/>
              <w:ind w:right="0" w:rightChars="0"/>
              <w:jc w:val="both"/>
              <w:rPr>
                <w:rFonts w:ascii="仿宋" w:hAnsi="仿宋" w:eastAsia="仿宋" w:cs="仿宋"/>
                <w:bCs/>
                <w:sz w:val="24"/>
                <w:lang w:val="zh-CN" w:bidi="zh-CN"/>
              </w:rPr>
            </w:pPr>
            <w:r>
              <w:rPr>
                <w:rFonts w:hint="eastAsia" w:ascii="仿宋" w:hAnsi="仿宋" w:eastAsia="仿宋" w:cs="仿宋"/>
                <w:bCs/>
                <w:sz w:val="24"/>
              </w:rPr>
              <w:t>指定收款账户</w:t>
            </w:r>
          </w:p>
        </w:tc>
        <w:tc>
          <w:tcPr>
            <w:tcW w:w="6994" w:type="dxa"/>
            <w:gridSpan w:val="8"/>
            <w:noWrap/>
            <w:vAlign w:val="center"/>
          </w:tcPr>
          <w:p w14:paraId="11B95D6B">
            <w:pPr>
              <w:spacing w:after="0" w:afterAutospacing="0" w:line="240" w:lineRule="auto"/>
              <w:ind w:right="0" w:rightChars="0"/>
              <w:jc w:val="both"/>
              <w:rPr>
                <w:rFonts w:ascii="仿宋" w:hAnsi="仿宋" w:eastAsia="仿宋" w:cs="仿宋"/>
                <w:bCs/>
                <w:sz w:val="24"/>
                <w:szCs w:val="24"/>
                <w:lang w:val="ru-RU"/>
              </w:rPr>
            </w:pPr>
            <w:r>
              <w:rPr>
                <w:rFonts w:hint="eastAsia" w:ascii="仿宋" w:hAnsi="仿宋" w:eastAsia="仿宋" w:cs="仿宋"/>
                <w:bCs/>
                <w:sz w:val="24"/>
                <w:szCs w:val="24"/>
                <w:lang w:val="ru-RU"/>
              </w:rPr>
              <w:t>户  名：北京建术信息科技研究院有限公司</w:t>
            </w:r>
          </w:p>
          <w:p w14:paraId="47876093">
            <w:pPr>
              <w:spacing w:beforeAutospacing="0" w:after="0" w:afterAutospacing="0" w:line="240" w:lineRule="auto"/>
              <w:ind w:right="0" w:rightChars="0"/>
              <w:jc w:val="both"/>
              <w:rPr>
                <w:rFonts w:ascii="仿宋" w:hAnsi="仿宋" w:eastAsia="仿宋" w:cs="仿宋"/>
                <w:bCs/>
                <w:sz w:val="24"/>
                <w:szCs w:val="24"/>
                <w:lang w:val="ru-RU"/>
              </w:rPr>
            </w:pPr>
            <w:r>
              <w:rPr>
                <w:rFonts w:hint="eastAsia" w:ascii="仿宋" w:hAnsi="仿宋" w:eastAsia="仿宋" w:cs="仿宋"/>
                <w:bCs/>
                <w:sz w:val="24"/>
                <w:szCs w:val="24"/>
                <w:lang w:val="ru-RU"/>
              </w:rPr>
              <w:t>开户行：中国建设银行股份有限公司北京昌平小汤山支行</w:t>
            </w:r>
          </w:p>
          <w:p w14:paraId="4986B59A">
            <w:pPr>
              <w:spacing w:beforeAutospacing="0" w:after="0" w:afterAutospacing="0" w:line="240" w:lineRule="auto"/>
              <w:ind w:right="0" w:rightChars="0"/>
              <w:jc w:val="both"/>
              <w:rPr>
                <w:rFonts w:ascii="仿宋" w:hAnsi="仿宋" w:eastAsia="仿宋" w:cs="仿宋"/>
                <w:bCs/>
                <w:sz w:val="24"/>
                <w:lang w:bidi="zh-CN"/>
              </w:rPr>
            </w:pPr>
            <w:r>
              <w:rPr>
                <w:rFonts w:hint="eastAsia" w:ascii="仿宋" w:hAnsi="仿宋" w:eastAsia="仿宋" w:cs="仿宋"/>
                <w:bCs/>
                <w:sz w:val="24"/>
                <w:szCs w:val="24"/>
                <w:lang w:val="ru-RU"/>
              </w:rPr>
              <w:t>账  号：1105 0110 2401 0900 0164</w:t>
            </w:r>
            <w:bookmarkStart w:id="0" w:name="_GoBack"/>
            <w:bookmarkEnd w:id="0"/>
          </w:p>
        </w:tc>
      </w:tr>
      <w:tr w14:paraId="3563A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932" w:type="dxa"/>
            <w:noWrap/>
            <w:vAlign w:val="center"/>
          </w:tcPr>
          <w:p w14:paraId="5E4A3496">
            <w:pPr>
              <w:spacing w:after="0" w:line="240" w:lineRule="auto"/>
              <w:ind w:right="0" w:rightChars="0"/>
              <w:jc w:val="both"/>
              <w:rPr>
                <w:rFonts w:ascii="仿宋" w:hAnsi="仿宋" w:eastAsia="仿宋" w:cs="仿宋"/>
                <w:bCs/>
                <w:sz w:val="24"/>
              </w:rPr>
            </w:pPr>
            <w:r>
              <w:rPr>
                <w:rFonts w:hint="eastAsia" w:ascii="仿宋" w:hAnsi="仿宋" w:eastAsia="仿宋" w:cs="仿宋"/>
                <w:bCs/>
                <w:sz w:val="24"/>
              </w:rPr>
              <w:t>参会方式</w:t>
            </w:r>
          </w:p>
        </w:tc>
        <w:tc>
          <w:tcPr>
            <w:tcW w:w="6994" w:type="dxa"/>
            <w:gridSpan w:val="8"/>
            <w:noWrap/>
            <w:vAlign w:val="center"/>
          </w:tcPr>
          <w:p w14:paraId="28DB6A19">
            <w:pPr>
              <w:spacing w:after="0" w:line="240" w:lineRule="auto"/>
              <w:ind w:right="0" w:rightChars="0"/>
              <w:jc w:val="both"/>
              <w:rPr>
                <w:rFonts w:ascii="仿宋" w:hAnsi="仿宋" w:eastAsia="仿宋" w:cs="仿宋"/>
                <w:bCs/>
                <w:sz w:val="24"/>
              </w:rPr>
            </w:pPr>
            <w:r>
              <w:rPr>
                <w:rFonts w:hint="eastAsia" w:ascii="仿宋" w:hAnsi="仿宋" w:eastAsia="仿宋" w:cs="仿宋"/>
                <w:bCs/>
                <w:sz w:val="24"/>
              </w:rPr>
              <w:t>请参会单位把参会回执回传至会务组，会务组确认后即发《参会凭证》，其中将详细注明报到时间、报到地点、食宿等具体安排事项。</w:t>
            </w:r>
          </w:p>
        </w:tc>
      </w:tr>
    </w:tbl>
    <w:p w14:paraId="4350FEEB">
      <w:pPr>
        <w:keepNext w:val="0"/>
        <w:keepLines w:val="0"/>
        <w:pageBreakBefore w:val="0"/>
        <w:widowControl w:val="0"/>
        <w:kinsoku/>
        <w:wordWrap/>
        <w:overflowPunct/>
        <w:topLinePunct w:val="0"/>
        <w:autoSpaceDE/>
        <w:autoSpaceDN/>
        <w:bidi w:val="0"/>
        <w:adjustRightInd/>
        <w:snapToGrid/>
        <w:spacing w:line="320" w:lineRule="exact"/>
        <w:ind w:right="84" w:rightChars="38"/>
        <w:jc w:val="both"/>
        <w:textAlignment w:val="auto"/>
        <w:rPr>
          <w:rStyle w:val="17"/>
          <w:rFonts w:ascii="黑体" w:hAnsi="黑体" w:eastAsia="黑体" w:cs="宋体"/>
          <w:b w:val="0"/>
          <w:color w:val="000000"/>
          <w:sz w:val="28"/>
          <w:szCs w:val="28"/>
          <w:lang w:val="zh-CN"/>
        </w:rPr>
      </w:pPr>
      <w:r>
        <w:rPr>
          <w:rStyle w:val="17"/>
          <w:rFonts w:hint="eastAsia" w:ascii="黑体" w:hAnsi="黑体" w:eastAsia="黑体" w:cs="宋体"/>
          <w:color w:val="000000"/>
          <w:sz w:val="28"/>
          <w:szCs w:val="28"/>
        </w:rPr>
        <w:t>注：</w:t>
      </w:r>
      <w:r>
        <w:rPr>
          <w:rStyle w:val="17"/>
          <w:rFonts w:hint="eastAsia" w:ascii="黑体" w:hAnsi="黑体" w:eastAsia="黑体" w:cs="宋体"/>
          <w:color w:val="000000"/>
          <w:lang w:val="zh-CN"/>
        </w:rPr>
        <w:t>为保证培训质量，培训班名额有限，额满为止，请确定人员后及早报名。</w:t>
      </w:r>
    </w:p>
    <w:p w14:paraId="75063A73">
      <w:pPr>
        <w:keepNext w:val="0"/>
        <w:keepLines w:val="0"/>
        <w:pageBreakBefore w:val="0"/>
        <w:widowControl w:val="0"/>
        <w:kinsoku/>
        <w:wordWrap/>
        <w:overflowPunct/>
        <w:topLinePunct w:val="0"/>
        <w:autoSpaceDE/>
        <w:autoSpaceDN/>
        <w:bidi w:val="0"/>
        <w:adjustRightInd/>
        <w:snapToGrid/>
        <w:spacing w:after="0" w:line="320" w:lineRule="exact"/>
        <w:ind w:firstLine="488" w:firstLineChars="200"/>
        <w:jc w:val="both"/>
        <w:textAlignment w:val="auto"/>
        <w:rPr>
          <w:rFonts w:hint="eastAsia" w:ascii="仿宋" w:hAnsi="仿宋" w:eastAsia="仿宋" w:cs="仿宋"/>
          <w:color w:val="000000"/>
          <w:spacing w:val="2"/>
          <w:sz w:val="24"/>
          <w:szCs w:val="24"/>
        </w:rPr>
      </w:pPr>
      <w:r>
        <w:rPr>
          <w:rFonts w:hint="eastAsia" w:ascii="仿宋" w:hAnsi="仿宋" w:eastAsia="仿宋" w:cs="仿宋"/>
          <w:color w:val="000000"/>
          <w:spacing w:val="2"/>
          <w:sz w:val="24"/>
          <w:szCs w:val="24"/>
        </w:rPr>
        <w:t xml:space="preserve">报名负责人：聂红军 主任18211071700（微信）   </w:t>
      </w:r>
    </w:p>
    <w:p w14:paraId="518CAEF2">
      <w:pPr>
        <w:keepNext w:val="0"/>
        <w:keepLines w:val="0"/>
        <w:pageBreakBefore w:val="0"/>
        <w:widowControl w:val="0"/>
        <w:kinsoku/>
        <w:wordWrap/>
        <w:overflowPunct/>
        <w:topLinePunct w:val="0"/>
        <w:autoSpaceDE/>
        <w:autoSpaceDN/>
        <w:bidi w:val="0"/>
        <w:adjustRightInd/>
        <w:snapToGrid/>
        <w:spacing w:after="0" w:line="320" w:lineRule="exact"/>
        <w:ind w:firstLine="488" w:firstLineChars="200"/>
        <w:jc w:val="both"/>
        <w:textAlignment w:val="auto"/>
        <w:rPr>
          <w:rFonts w:hint="eastAsia" w:ascii="仿宋" w:hAnsi="仿宋" w:eastAsia="仿宋" w:cs="仿宋"/>
          <w:color w:val="000000"/>
          <w:spacing w:val="2"/>
          <w:sz w:val="24"/>
          <w:szCs w:val="24"/>
        </w:rPr>
      </w:pPr>
      <w:r>
        <w:rPr>
          <w:rFonts w:hint="eastAsia" w:ascii="仿宋" w:hAnsi="仿宋" w:eastAsia="仿宋" w:cs="仿宋"/>
          <w:color w:val="000000"/>
          <w:spacing w:val="2"/>
          <w:sz w:val="24"/>
          <w:szCs w:val="24"/>
        </w:rPr>
        <w:t xml:space="preserve">电    话：13141289128        邮    箱：470882753@qq.com  </w:t>
      </w:r>
    </w:p>
    <w:p w14:paraId="0230E2AF">
      <w:pPr>
        <w:keepNext w:val="0"/>
        <w:keepLines w:val="0"/>
        <w:pageBreakBefore w:val="0"/>
        <w:widowControl w:val="0"/>
        <w:kinsoku/>
        <w:wordWrap/>
        <w:overflowPunct/>
        <w:topLinePunct w:val="0"/>
        <w:autoSpaceDE/>
        <w:autoSpaceDN/>
        <w:bidi w:val="0"/>
        <w:adjustRightInd/>
        <w:snapToGrid/>
        <w:spacing w:after="0" w:line="320" w:lineRule="exact"/>
        <w:ind w:firstLine="488" w:firstLineChars="200"/>
        <w:jc w:val="both"/>
        <w:textAlignment w:val="auto"/>
        <w:rPr>
          <w:rFonts w:hint="eastAsia" w:ascii="仿宋" w:hAnsi="仿宋" w:eastAsia="仿宋" w:cs="仿宋"/>
          <w:color w:val="000000"/>
          <w:spacing w:val="2"/>
          <w:sz w:val="24"/>
          <w:szCs w:val="24"/>
        </w:rPr>
      </w:pPr>
      <w:r>
        <w:rPr>
          <w:rFonts w:hint="eastAsia" w:ascii="仿宋" w:hAnsi="仿宋" w:eastAsia="仿宋" w:cs="仿宋"/>
          <w:color w:val="000000"/>
          <w:spacing w:val="2"/>
          <w:sz w:val="24"/>
          <w:szCs w:val="24"/>
        </w:rPr>
        <w:t>qq咨询：470882753            网    址：www.zqgpchina.cn</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99F"/>
    <w:rsid w:val="000A1E89"/>
    <w:rsid w:val="006E6C3A"/>
    <w:rsid w:val="007C5012"/>
    <w:rsid w:val="0087299F"/>
    <w:rsid w:val="00913DEE"/>
    <w:rsid w:val="00AC065A"/>
    <w:rsid w:val="00AD6CC1"/>
    <w:rsid w:val="00D86FE3"/>
    <w:rsid w:val="06222216"/>
    <w:rsid w:val="20804B58"/>
    <w:rsid w:val="235D2694"/>
    <w:rsid w:val="2A5510F5"/>
    <w:rsid w:val="2DD237CC"/>
    <w:rsid w:val="31896E18"/>
    <w:rsid w:val="318F2647"/>
    <w:rsid w:val="33FF08E9"/>
    <w:rsid w:val="359D4003"/>
    <w:rsid w:val="35E74B2F"/>
    <w:rsid w:val="43044E70"/>
    <w:rsid w:val="44064B1D"/>
    <w:rsid w:val="4A7615A2"/>
    <w:rsid w:val="515D4548"/>
    <w:rsid w:val="52183C4D"/>
    <w:rsid w:val="67A8119C"/>
    <w:rsid w:val="71AC3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7">
    <w:name w:val="Strong"/>
    <w:basedOn w:val="16"/>
    <w:qFormat/>
    <w:uiPriority w:val="0"/>
    <w:rPr>
      <w:rFonts w:cs="Times New Roman"/>
      <w:b/>
    </w:rPr>
  </w:style>
  <w:style w:type="character" w:customStyle="1" w:styleId="18">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6"/>
    <w:link w:val="5"/>
    <w:semiHidden/>
    <w:qFormat/>
    <w:uiPriority w:val="9"/>
    <w:rPr>
      <w:rFonts w:cstheme="majorBidi"/>
      <w:color w:val="104862" w:themeColor="accent1" w:themeShade="BF"/>
      <w:sz w:val="28"/>
      <w:szCs w:val="28"/>
    </w:rPr>
  </w:style>
  <w:style w:type="character" w:customStyle="1" w:styleId="22">
    <w:name w:val="标题 5 字符"/>
    <w:basedOn w:val="16"/>
    <w:link w:val="6"/>
    <w:semiHidden/>
    <w:qFormat/>
    <w:uiPriority w:val="9"/>
    <w:rPr>
      <w:rFonts w:cstheme="majorBidi"/>
      <w:color w:val="104862" w:themeColor="accent1" w:themeShade="BF"/>
      <w:sz w:val="24"/>
    </w:rPr>
  </w:style>
  <w:style w:type="character" w:customStyle="1" w:styleId="23">
    <w:name w:val="标题 6 字符"/>
    <w:basedOn w:val="16"/>
    <w:link w:val="7"/>
    <w:semiHidden/>
    <w:qFormat/>
    <w:uiPriority w:val="9"/>
    <w:rPr>
      <w:rFonts w:cstheme="majorBidi"/>
      <w:b/>
      <w:bCs/>
      <w:color w:val="104862"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6"/>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6"/>
    <w:link w:val="33"/>
    <w:qFormat/>
    <w:uiPriority w:val="30"/>
    <w:rPr>
      <w:i/>
      <w:iCs/>
      <w:color w:val="104862" w:themeColor="accent1" w:themeShade="BF"/>
    </w:rPr>
  </w:style>
  <w:style w:type="character" w:customStyle="1" w:styleId="35">
    <w:name w:val="明显参考1"/>
    <w:basedOn w:val="16"/>
    <w:qFormat/>
    <w:uiPriority w:val="32"/>
    <w:rPr>
      <w:b/>
      <w:bCs/>
      <w:smallCaps/>
      <w:color w:val="104862" w:themeColor="accent1" w:themeShade="BF"/>
      <w:spacing w:val="5"/>
    </w:rPr>
  </w:style>
  <w:style w:type="character" w:customStyle="1" w:styleId="36">
    <w:name w:val="页眉 字符"/>
    <w:basedOn w:val="16"/>
    <w:link w:val="12"/>
    <w:qFormat/>
    <w:uiPriority w:val="99"/>
    <w:rPr>
      <w:kern w:val="2"/>
      <w:sz w:val="18"/>
      <w:szCs w:val="18"/>
      <w14:ligatures w14:val="standardContextual"/>
    </w:rPr>
  </w:style>
  <w:style w:type="character" w:customStyle="1" w:styleId="37">
    <w:name w:val="页脚 字符"/>
    <w:basedOn w:val="16"/>
    <w:link w:val="11"/>
    <w:qFormat/>
    <w:uiPriority w:val="99"/>
    <w:rPr>
      <w:kern w:val="2"/>
      <w:sz w:val="18"/>
      <w:szCs w:val="18"/>
      <w14:ligatures w14:val="standardContextu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7005</Words>
  <Characters>7498</Characters>
  <Lines>117</Lines>
  <Paragraphs>82</Paragraphs>
  <TotalTime>2</TotalTime>
  <ScaleCrop>false</ScaleCrop>
  <LinksUpToDate>false</LinksUpToDate>
  <CharactersWithSpaces>7829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2026-06-17T05:32:00Z</dcterms:created>
  <dc:creator>l l</dc:creator>
  <cp:lastModifiedBy>聂红军</cp:lastModifiedBy>
  <dcterms:modified xsi:type="dcterms:W3CDTF">2026-09-09T03:48:57Z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eyJoZGlkIjoiZTUyMWM5NTU3NmQwMzYzZGY2NjUyMjZkNDUzMDVhNDkiLCJ1c2VySWQiOiI0OTM4MTE0ODQifQ==</vt:lpwstr>
  </property>
  <property fmtid="{D5CDD505-2E9C-101B-9397-08002B2CF9AE}" pid="3" name="KSOProductBuildVer">
    <vt:lpwstr>2052-12.1.0.28505</vt:lpwstr>
  </property>
  <property fmtid="{D5CDD505-2E9C-101B-9397-08002B2CF9AE}" pid="4" name="ICV">
    <vt:lpwstr>8BFC255D47EE4126A2E5E9D3FFF65CD0_13</vt:lpwstr>
  </property>
</Properties>
</file>