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B8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1200" w:lineRule="exact"/>
        <w:jc w:val="center"/>
        <w:textAlignment w:val="auto"/>
        <w:rPr>
          <w:rFonts w:hint="default" w:ascii="宋体" w:hAnsi="宋体"/>
          <w:b/>
          <w:bCs/>
          <w:color w:val="FF0000"/>
          <w:w w:val="70"/>
          <w:kern w:val="0"/>
          <w:sz w:val="100"/>
          <w:szCs w:val="100"/>
          <w:lang w:val="en-US" w:eastAsia="zh-CN"/>
        </w:rPr>
      </w:pPr>
      <w:r>
        <w:rPr>
          <w:rFonts w:hint="eastAsia" w:ascii="宋体" w:hAnsi="宋体"/>
          <w:b/>
          <w:bCs/>
          <w:color w:val="FF0000"/>
          <w:w w:val="70"/>
          <w:kern w:val="0"/>
          <w:sz w:val="100"/>
          <w:szCs w:val="100"/>
          <w:lang w:val="en-US" w:eastAsia="zh-CN"/>
        </w:rPr>
        <w:t>北京中建科信管理咨询集团</w:t>
      </w:r>
    </w:p>
    <w:p w14:paraId="636DE5C4">
      <w:pPr>
        <w:pStyle w:val="10"/>
        <w:spacing w:line="38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122555</wp:posOffset>
                </wp:positionV>
                <wp:extent cx="5619750" cy="19050"/>
                <wp:effectExtent l="0" t="19050" r="3810" b="2286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0" cy="19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.9pt;margin-top:9.65pt;height:1.5pt;width:442.5pt;z-index:251660288;mso-width-relative:page;mso-height-relative:page;" filled="f" stroked="t" coordsize="21600,21600" o:gfxdata="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9g0Nc1QAAAAcBAAAPAAAAAAAAAAEAIAAAACIAAABkcnMvZG93bnJl&#10;di54bWxQSwECFAAUAAAACACHTuJAn/f4sQACAADRAwAADgAAAAAAAAABACAAAAAkAQAAZHJzL2Uy&#10;b0RvYy54bWxQSwUGAAAAAAYABgBZAQAAlgUAAAAA&#10;">
                <v:fill on="f" focussize="0,0"/>
                <v:stroke weight="3pt" color="#FF0000" joinstyle="round"/>
                <v:imagedata o:title=""/>
                <o:lock v:ext="edit" aspectratio="f"/>
              </v:shape>
            </w:pict>
          </mc:Fallback>
        </mc:AlternateContent>
      </w:r>
    </w:p>
    <w:p w14:paraId="0CDFE4E6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关于举办“六网协同·万亿机遇——抢抓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‘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六张网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’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建设政策窗口期、精准谋划项目、赋能区域跨越式发展高级研修班”</w:t>
      </w:r>
    </w:p>
    <w:p w14:paraId="28755A0E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的通知</w:t>
      </w:r>
    </w:p>
    <w:p w14:paraId="7A36CBC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59457A5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各有关单位：</w:t>
      </w:r>
    </w:p>
    <w:p w14:paraId="2CAC1D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当前，国家全面提速“六张网”新型基础设施建设，作为“十五五”时期稳投资、补短板、强产业、促增长的核心战略抓手，万亿级增量市场全面释放，政策窗口期、项目落地期、投资红利期高度叠加，成为地方政府拉动有效投资、完善城市功能、培育新兴产业、实现经济跨越式发展的核心突破口。2026年8月25日，国家发展改革委召开“六网协同”协调推进工作会，国家发改委、财政部、工信部等十部门专题研究完善多元化投融资模式，标志着“六张网”从规划部署正式进入投融资机制设计阶段。</w:t>
      </w:r>
    </w:p>
    <w:p w14:paraId="76F8BA5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面对超26万亿的投资大盘，地方政府如何精准谋划项目、打通资金通道？建筑企业如何打破传统基建路径依赖、抢抓新型基建赛道机遇？投融资机制从“统一资金池”转向“分类匹配”后，各方主体如何适应规则之变？</w:t>
      </w:r>
    </w:p>
    <w:p w14:paraId="39E71F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80" w:firstLineChars="20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为助力地方政府、国企及相关市场主体精准把握国家最新顶层政策、吃透六网建设布局导向、掌握项目谋划储备、资金申报、多元融资、统筹落地的全链条实操方法，抢抓国家级基建战略机遇，补齐区域基建短板、扩大有效投资，助力地方实现高质量跨越式发展。中建科信管理咨询集团举办“六网协同·万亿机遇——抢抓“六张网”建设政策窗口期、精准谋划项目、赋能区域跨越式发展高级研修班”，聚焦实战、直击痛点，系统拆解政策逻辑、实操路径与创新方法，赋能“六张网”项目高效落地、合规推进。有关事项通知如下：</w:t>
      </w:r>
    </w:p>
    <w:p w14:paraId="6FDFA1A2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default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一、培训内容</w:t>
      </w:r>
    </w:p>
    <w:p w14:paraId="59ED32D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（一）六张网最新国家政策深度解读与行业发展趋势</w:t>
      </w:r>
    </w:p>
    <w:p w14:paraId="2DBCC696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1.2026年国家六张网顶层设计、政治局会议及发改委专项会议核心政策逐条解读，明确“六网协同”建设总体要求与发展导向;</w:t>
      </w:r>
    </w:p>
    <w:p w14:paraId="7ECD457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水网、新型电网、算力网、新一代通信网、城市地下管网、物流网六大领域专项新政、行业规范与落地细则;</w:t>
      </w:r>
    </w:p>
    <w:p w14:paraId="47C6C32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3.国家“向新向优向好“基建发展导向，六张网作为新型基建核心载体的战略定位;</w:t>
      </w:r>
    </w:p>
    <w:p w14:paraId="4C405DEE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4.全国六张网建设区域布局、重点支持领域、负面清单与准入要求;</w:t>
      </w:r>
    </w:p>
    <w:p w14:paraId="620CE580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5.“十五五”期间六张网整体建设节奏、政策延续性与长期发展趋势预判。</w:t>
      </w:r>
    </w:p>
    <w:p w14:paraId="02128EF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（二）六张网全域市场规模、细分赛道投资格局与机会分析</w:t>
      </w:r>
    </w:p>
    <w:p w14:paraId="7C45C283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1.2026年全国六张网超7万亿整体投资规模拆解，各赛道投资占比、建设重点与落地节奏;</w:t>
      </w:r>
    </w:p>
    <w:p w14:paraId="6D42F32B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新型电网“十五五”超5万亿投资布局、新能源配套电网建设增量市场;</w:t>
      </w:r>
    </w:p>
    <w:p w14:paraId="1BC67AF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3.新一代通信网5G-A规模化部署、6G预研、万兆光网普及带来的基建增量;</w:t>
      </w:r>
    </w:p>
    <w:p w14:paraId="060D4D8E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4.算力网、物流网、城市地下管网、水利水网细分市场容量、建设痛点与红利窗口;</w:t>
      </w:r>
    </w:p>
    <w:p w14:paraId="6ED18B77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5.六张网上下游产业链机遇、细分蓝海赛道与差异化竞争方向。</w:t>
      </w:r>
    </w:p>
    <w:p w14:paraId="367FDCE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（三）六张网整体规划体系、建设标准与落地实施路径</w:t>
      </w:r>
    </w:p>
    <w:p w14:paraId="0D6B6B6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1.国家、省、市三级六张网规划架构、编制逻辑与上下衔接要求;</w:t>
      </w:r>
    </w:p>
    <w:p w14:paraId="5C849E9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2.六网协同建设核心要义，多网融合、资源共享、统筹共建实操路径;</w:t>
      </w:r>
    </w:p>
    <w:p w14:paraId="54E479F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3.六大网络专项规划建设标准、工程建设要点、改造升级与新建项目要求;</w:t>
      </w:r>
    </w:p>
    <w:p w14:paraId="08F8EA13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4.区域六张网规划编制、项目布局、时序安排与落地实施方案设计;</w:t>
      </w:r>
    </w:p>
    <w:p w14:paraId="45C27B2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5.存量设施提质改造、增量项目精准布局、跨区域互联互通建设实操要点。</w:t>
      </w:r>
    </w:p>
    <w:p w14:paraId="6AF6725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（四）六张网多元化投融资模式创新与资金闭环实操</w:t>
      </w:r>
    </w:p>
    <w:p w14:paraId="2A7444F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1.国家六张网分类投融资政策体系，财政、金融、价格、投资配套工具解读;</w:t>
      </w:r>
    </w:p>
    <w:p w14:paraId="08B0475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2.专项债、政策性金融、产业基金、REITs、PPP、市场化融资等多元模式适配场景;</w:t>
      </w:r>
    </w:p>
    <w:p w14:paraId="4B5C7661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3.不同赛道项目投融资差异化策略，公益类、准经营类、经营类项目资金平衡方案;</w:t>
      </w:r>
    </w:p>
    <w:p w14:paraId="57F1D23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4.六张网项目资本金筹措、贷款审批、收益测算、风险防控实操要点;</w:t>
      </w:r>
    </w:p>
    <w:p w14:paraId="0F56F83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5.破解项目融资难、资金闭环弱、回报机制不清晰的实操解决方案。</w:t>
      </w:r>
    </w:p>
    <w:p w14:paraId="0FAFE176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（五）六张网优质项目谋划、储备申报与落地实操方法</w:t>
      </w:r>
    </w:p>
    <w:p w14:paraId="0BA7EE1B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1.六张网项目谋划核心逻辑、入库标准、申报要求与评分要点;</w:t>
      </w:r>
    </w:p>
    <w:p w14:paraId="6DE32CE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2.精准挖掘区域适配项目，新建、改扩建、融合类项目包装策划技巧;</w:t>
      </w:r>
    </w:p>
    <w:p w14:paraId="6E69B20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3.项目可行性研究、收益方案、风险方案编制核心要点;</w:t>
      </w:r>
    </w:p>
    <w:p w14:paraId="10FC533C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4.国家、省级重大项目库申报流程、动态储备与调度管理机制;</w:t>
      </w:r>
    </w:p>
    <w:p w14:paraId="335A1186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5.项目前期手续提速、落地推进、全过程管控实操经验与案例复盘。</w:t>
      </w:r>
    </w:p>
    <w:p w14:paraId="133E156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（六）地方政府抢抓六张网机遇，实现区域跨越式发展实操策略</w:t>
      </w:r>
    </w:p>
    <w:p w14:paraId="29AAC85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1.地方政府六张网工作专班搭建、统筹推进机制与考核体系建设;</w:t>
      </w:r>
    </w:p>
    <w:p w14:paraId="7A3B1547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2.结合区域禀赋精准布局六网项目，打造区域新基建核心竞争力;</w:t>
      </w:r>
    </w:p>
    <w:p w14:paraId="42936733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3.借力六张网建设盘活存量资产、拉动产业集聚、拓宽财政增收渠道;</w:t>
      </w:r>
    </w:p>
    <w:p w14:paraId="01163310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4.争取国家级、省级政策、资金、试点资源倾斜的实操路径;</w:t>
      </w:r>
    </w:p>
    <w:p w14:paraId="364F0C2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5.破解地方基建短板、破解融资瓶颈、推动城市更新与县域经济升级实战方案。</w:t>
      </w:r>
    </w:p>
    <w:p w14:paraId="408ABA6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（七）建筑企业参与六张网建设的落地策略</w:t>
      </w:r>
    </w:p>
    <w:p w14:paraId="0AC3AE1E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bookmarkStart w:id="0" w:name="heading_17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1.资质升级与资质组合：突破领域准入门槛</w:t>
      </w:r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；</w:t>
      </w:r>
    </w:p>
    <w:p w14:paraId="1D7844FD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bookmarkStart w:id="1" w:name="heading_18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2.业务模式选择</w:t>
      </w:r>
      <w:bookmarkEnd w:id="1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：EPC、投建营一体化（如物流园区、数据中心运营等）；</w:t>
      </w:r>
    </w:p>
    <w:p w14:paraId="509CC3D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bookmarkStart w:id="2" w:name="heading_19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3.资源整合与合作生态：破解技术、资金、资源难题</w:t>
      </w:r>
      <w:bookmarkEnd w:id="2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；</w:t>
      </w:r>
    </w:p>
    <w:p w14:paraId="74F9EA4D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leftChars="0" w:right="0" w:rightChars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bookmarkStart w:id="3" w:name="heading_2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4.投标策略与风险管控：提高中标率，降低项目风险</w:t>
      </w:r>
      <w:bookmarkEnd w:id="3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。</w:t>
      </w:r>
    </w:p>
    <w:p w14:paraId="5DE7DAB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二、培训对象</w:t>
      </w:r>
    </w:p>
    <w:p w14:paraId="2F11130B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1.各省市(区、县)发展改革委、财政、住建、水利、交通运输、工信、大数据局等部门负责人及相关人员;</w:t>
      </w:r>
    </w:p>
    <w:p w14:paraId="292F0B62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2.地方政府投融资平台:城投、水投、能投、交投、信投、产投等国企高管、项目负责人、投融资及规划建设部门人员;</w:t>
      </w:r>
    </w:p>
    <w:p w14:paraId="738ADCF8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3.六网建设相关企业:建筑施工、工程设计、咨询服务、能源电力、算力科技、通信技术、物流供应链、环保科技、设备供应商等企业负责人及核心团队;</w:t>
      </w:r>
    </w:p>
    <w:p w14:paraId="15503C3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4.金融机构:银行、券商、基金、信托、保险资管、REITs管理人等基建投资、信贷审批、投行部门相关人员。</w:t>
      </w:r>
    </w:p>
    <w:p w14:paraId="0798320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三、授课师资</w:t>
      </w:r>
    </w:p>
    <w:p w14:paraId="41776B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90" w:beforeAutospacing="0" w:after="0" w:afterAutospacing="0" w:line="400" w:lineRule="exact"/>
        <w:ind w:firstLine="58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拟邀请“六张网”领域政策研究专家、政策性金融机构业务负责人、基础设施投融资领域专家、实操经验丰富的“六张网”落地项目负责人现场授课，结合经典案例分析，并进行互动交流和现场答疑。</w:t>
      </w:r>
    </w:p>
    <w:p w14:paraId="54DE3671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四、时间地点</w:t>
      </w:r>
    </w:p>
    <w:p w14:paraId="611B61F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2026年10月15日—10月18日   南京市 （15日全天报到）</w:t>
      </w:r>
    </w:p>
    <w:p w14:paraId="16C2AC7C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2026年10月22日—10月25日   西安市 （22日全天报到）</w:t>
      </w:r>
    </w:p>
    <w:p w14:paraId="5CFDA0C7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2026年11月05日—11月08日   武汉市 （05日全天报到）</w:t>
      </w:r>
    </w:p>
    <w:p w14:paraId="0997F1FA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2026年11月19日—11月22日   成都市 （19日全天报到）</w:t>
      </w:r>
    </w:p>
    <w:p w14:paraId="5EB295A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2026年12月03日—12月06日   厦门市 （03日全天报到）</w:t>
      </w:r>
    </w:p>
    <w:p w14:paraId="59D374DF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2026年12月17日—12月20日   长沙市 （17日全天报到）</w:t>
      </w:r>
    </w:p>
    <w:p w14:paraId="05217949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2027年01月07日—01月10日   昆明市 （07日全天报到）</w:t>
      </w:r>
    </w:p>
    <w:p w14:paraId="164FF8CD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2027年01月21日—01月24日   海口市 （21日全天报到）</w:t>
      </w:r>
    </w:p>
    <w:p w14:paraId="5E8919D3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五、收费标准</w:t>
      </w:r>
    </w:p>
    <w:p w14:paraId="6C7D5A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仿宋" w:hAnsi="仿宋" w:eastAsia="仿宋" w:cs="仿宋"/>
          <w:color w:val="000000"/>
          <w:spacing w:val="1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A.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398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0元/人（含培训、资料、电子课件、场地及培训期间午餐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  <w:lang w:val="en-US" w:eastAsia="zh-CN"/>
        </w:rPr>
        <w:t>结业证书</w:t>
      </w:r>
      <w:r>
        <w:rPr>
          <w:rFonts w:hint="eastAsia" w:ascii="仿宋" w:hAnsi="仿宋" w:eastAsia="仿宋" w:cs="仿宋"/>
          <w:color w:val="000000"/>
          <w:spacing w:val="10"/>
          <w:sz w:val="28"/>
          <w:szCs w:val="28"/>
        </w:rPr>
        <w:t>），住宿统一安排，费用自理。</w:t>
      </w:r>
    </w:p>
    <w:p w14:paraId="5F1F12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560" w:firstLineChars="200"/>
        <w:textAlignment w:val="auto"/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B.5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98</w:t>
      </w:r>
      <w: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0元/人（含培训、资料、电子课件、场地、证书及培训期间午餐），住宿统一安排，费用自理。培训结束后，经考核合格，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由中小企业合作发展促进中心颁发《投融资规划师》证书，报名需提供申报表、二寸蓝底免冠彩色照片、身份证复印件、学历证书复印件等电子版材料。</w:t>
      </w:r>
    </w:p>
    <w:p w14:paraId="7500FE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C.28000元/单位，同步直播，单位投屏播放，统一观看，不限人数，提供电子课件，支持在线提问。</w:t>
      </w:r>
    </w:p>
    <w:p w14:paraId="1382D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</w:rPr>
        <w:t>D.40000元/天，根据实际需求，个性化定制课程内容，委派专家赴政府、国有企业进行内部培训（含课酬、专家与助教交通费、资料费等，培训场地由受训单位提供）</w:t>
      </w:r>
      <w:r>
        <w:rPr>
          <w:rFonts w:hint="eastAsia" w:ascii="仿宋" w:hAnsi="仿宋" w:eastAsia="仿宋" w:cs="仿宋"/>
          <w:kern w:val="0"/>
          <w:sz w:val="28"/>
          <w:szCs w:val="28"/>
        </w:rPr>
        <w:t>。</w:t>
      </w:r>
    </w:p>
    <w:p w14:paraId="36BF0805">
      <w:pPr>
        <w:pStyle w:val="9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60607"/>
          <w:spacing w:val="5"/>
          <w:kern w:val="0"/>
          <w:sz w:val="28"/>
          <w:szCs w:val="28"/>
          <w:u w:val="none"/>
          <w:shd w:val="clear" w:fill="FFFFFF"/>
          <w:lang w:val="en-US" w:eastAsia="zh-CN" w:bidi="ar"/>
        </w:rPr>
        <w:t>六、联系方式</w:t>
      </w:r>
    </w:p>
    <w:p w14:paraId="4BE7D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  <w:t xml:space="preserve">报名负责人：聂红军 主任18211071700（微信）   </w:t>
      </w:r>
    </w:p>
    <w:p w14:paraId="4ACC6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  <w:t xml:space="preserve">电    话：13141289128        邮    箱：470882753@qq.com  </w:t>
      </w:r>
    </w:p>
    <w:p w14:paraId="7462D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lang w:eastAsia="zh-CN"/>
        </w:rPr>
        <w:t>qq咨询：470882753            网    址：www.zqgpchina.cn</w:t>
      </w:r>
    </w:p>
    <w:p w14:paraId="74D3751A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4978" w:leftChars="1704" w:right="0" w:hanging="1400" w:hangingChars="5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2851785</wp:posOffset>
            </wp:positionH>
            <wp:positionV relativeFrom="paragraph">
              <wp:posOffset>297815</wp:posOffset>
            </wp:positionV>
            <wp:extent cx="2190750" cy="2187575"/>
            <wp:effectExtent l="0" t="0" r="0" b="3175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D7A27E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right="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 w14:paraId="2859CF7F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192" w:afterAutospacing="0"/>
        <w:ind w:left="5138" w:leftChars="1704" w:right="0" w:hanging="1560" w:hangingChars="500"/>
        <w:jc w:val="left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eastAsia="zh-CN"/>
          <w14:textFill>
            <w14:solidFill>
              <w14:schemeClr w14:val="tx1"/>
            </w14:solidFill>
          </w14:textFill>
        </w:rPr>
        <w:t>北京中建科信管理咨询集团有限公司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2026年9月1日</w:t>
      </w:r>
    </w:p>
    <w:p w14:paraId="5961472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990C858">
      <w:pPr>
        <w:rPr>
          <w:rFonts w:hint="eastAsia"/>
          <w:lang w:val="en-US" w:eastAsia="zh-CN"/>
        </w:rPr>
      </w:pPr>
    </w:p>
    <w:p w14:paraId="7ADCB38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0"/>
          <w:szCs w:val="30"/>
          <w:shd w:val="clear" w:color="000000" w:fill="auto"/>
          <w:lang w:val="en-US" w:eastAsia="zh-CN" w:bidi="ar-SA"/>
          <w14:textFill>
            <w14:solidFill>
              <w14:schemeClr w14:val="tx1"/>
            </w14:solidFill>
          </w14:textFill>
        </w:rPr>
        <w:t>附件：</w:t>
      </w:r>
    </w:p>
    <w:p w14:paraId="172BD69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jc w:val="center"/>
        <w:textAlignment w:val="auto"/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六网协同·万亿机遇——抢抓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‘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六张网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’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 w:themeColor="text1"/>
          <w:spacing w:val="6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建设政策窗口期、精准谋划项目、赋能区域跨越式发展高级研修班报名回执表</w:t>
      </w:r>
    </w:p>
    <w:tbl>
      <w:tblPr>
        <w:tblStyle w:val="12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854"/>
        <w:gridCol w:w="1293"/>
        <w:gridCol w:w="1952"/>
        <w:gridCol w:w="1896"/>
        <w:gridCol w:w="2164"/>
      </w:tblGrid>
      <w:tr w14:paraId="0610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635DF2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099" w:type="dxa"/>
            <w:gridSpan w:val="3"/>
            <w:vAlign w:val="center"/>
          </w:tcPr>
          <w:p w14:paraId="0914C22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5319C3F9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164" w:type="dxa"/>
            <w:vAlign w:val="center"/>
          </w:tcPr>
          <w:p w14:paraId="17B57B57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54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15AA773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8159" w:type="dxa"/>
            <w:gridSpan w:val="5"/>
            <w:vAlign w:val="center"/>
          </w:tcPr>
          <w:p w14:paraId="3D59A3A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69F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293E094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147" w:type="dxa"/>
            <w:gridSpan w:val="2"/>
            <w:vAlign w:val="center"/>
          </w:tcPr>
          <w:p w14:paraId="1A886B5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093618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4060" w:type="dxa"/>
            <w:gridSpan w:val="2"/>
            <w:vAlign w:val="center"/>
          </w:tcPr>
          <w:p w14:paraId="494171FD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356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4DFFE1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47" w:type="dxa"/>
            <w:gridSpan w:val="2"/>
            <w:vAlign w:val="center"/>
          </w:tcPr>
          <w:p w14:paraId="0B9BD3F0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170DAA5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4060" w:type="dxa"/>
            <w:gridSpan w:val="2"/>
            <w:vAlign w:val="center"/>
          </w:tcPr>
          <w:p w14:paraId="6A2C919C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D8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0DDE07A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传真</w:t>
            </w:r>
          </w:p>
        </w:tc>
        <w:tc>
          <w:tcPr>
            <w:tcW w:w="2147" w:type="dxa"/>
            <w:gridSpan w:val="2"/>
            <w:vAlign w:val="center"/>
          </w:tcPr>
          <w:p w14:paraId="3722BD8A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163CFCA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4060" w:type="dxa"/>
            <w:gridSpan w:val="2"/>
            <w:vAlign w:val="center"/>
          </w:tcPr>
          <w:p w14:paraId="09621F3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064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74FD9688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参训人员</w:t>
            </w:r>
          </w:p>
        </w:tc>
        <w:tc>
          <w:tcPr>
            <w:tcW w:w="854" w:type="dxa"/>
            <w:vAlign w:val="center"/>
          </w:tcPr>
          <w:p w14:paraId="3F81596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3" w:type="dxa"/>
            <w:vAlign w:val="center"/>
          </w:tcPr>
          <w:p w14:paraId="5E3CA1CF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52" w:type="dxa"/>
            <w:vAlign w:val="center"/>
          </w:tcPr>
          <w:p w14:paraId="485E79B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96" w:type="dxa"/>
            <w:vAlign w:val="center"/>
          </w:tcPr>
          <w:p w14:paraId="77BA509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164" w:type="dxa"/>
            <w:vAlign w:val="center"/>
          </w:tcPr>
          <w:p w14:paraId="567E8276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</w:tr>
      <w:tr w14:paraId="0501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2BC9BB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747F06C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7E3811EC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0DFA976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20A514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67BEF72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8C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E928C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73DC1DC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0AE3523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2C0A30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3DA2ABC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3593729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4B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6F2DFFC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16D86E2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1CF7A37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D903D7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0CDB197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68C16C3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FD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7FD7BE2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329C773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222D9F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6B59709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6AB9365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45F2D8C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15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28D9E90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076A637C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00FE78D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8D4E64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2E80AA4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3C0642C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2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1EE4347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174C6DBB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5114C28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1FEEF4F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0A87FFC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1936A0CE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C89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108C231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0CE5D2D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64CE5E1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453C752F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413550C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047B99A4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8D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5CA4CC23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14498162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vAlign w:val="center"/>
          </w:tcPr>
          <w:p w14:paraId="5E1FC53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28DC7DA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 w14:paraId="01AF9C5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4" w:type="dxa"/>
            <w:vAlign w:val="center"/>
          </w:tcPr>
          <w:p w14:paraId="723FC2C6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13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083CA643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参训时间</w:t>
            </w:r>
          </w:p>
        </w:tc>
        <w:tc>
          <w:tcPr>
            <w:tcW w:w="2147" w:type="dxa"/>
            <w:gridSpan w:val="2"/>
            <w:vAlign w:val="center"/>
          </w:tcPr>
          <w:p w14:paraId="645CEF8D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2" w:type="dxa"/>
            <w:vAlign w:val="center"/>
          </w:tcPr>
          <w:p w14:paraId="20071B7A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参训地点</w:t>
            </w:r>
          </w:p>
        </w:tc>
        <w:tc>
          <w:tcPr>
            <w:tcW w:w="4060" w:type="dxa"/>
            <w:gridSpan w:val="2"/>
            <w:vAlign w:val="center"/>
          </w:tcPr>
          <w:p w14:paraId="724DF2D9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4EB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787A5262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住宿标准</w:t>
            </w:r>
          </w:p>
        </w:tc>
        <w:tc>
          <w:tcPr>
            <w:tcW w:w="8159" w:type="dxa"/>
            <w:gridSpan w:val="5"/>
            <w:vAlign w:val="center"/>
          </w:tcPr>
          <w:p w14:paraId="42A2FF54">
            <w:pPr>
              <w:tabs>
                <w:tab w:val="left" w:pos="567"/>
                <w:tab w:val="left" w:pos="709"/>
              </w:tabs>
              <w:spacing w:line="300" w:lineRule="exact"/>
              <w:ind w:firstLine="1680" w:firstLineChars="6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单住□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合住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自理□</w:t>
            </w:r>
          </w:p>
        </w:tc>
      </w:tr>
      <w:tr w14:paraId="3F6A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29E5898E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证书申报</w:t>
            </w:r>
          </w:p>
        </w:tc>
        <w:tc>
          <w:tcPr>
            <w:tcW w:w="8159" w:type="dxa"/>
            <w:gridSpan w:val="5"/>
            <w:vAlign w:val="center"/>
          </w:tcPr>
          <w:p w14:paraId="7FD49B81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投融资规划师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7995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78" w:type="dxa"/>
            <w:vAlign w:val="center"/>
          </w:tcPr>
          <w:p w14:paraId="4017C5F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</w:tc>
        <w:tc>
          <w:tcPr>
            <w:tcW w:w="4099" w:type="dxa"/>
            <w:gridSpan w:val="3"/>
            <w:vAlign w:val="center"/>
          </w:tcPr>
          <w:p w14:paraId="2494F765">
            <w:pPr>
              <w:tabs>
                <w:tab w:val="left" w:pos="567"/>
                <w:tab w:val="left" w:pos="709"/>
              </w:tabs>
              <w:spacing w:line="300" w:lineRule="exact"/>
              <w:ind w:firstLine="840" w:firstLineChars="300"/>
              <w:jc w:val="both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转账□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现场□</w:t>
            </w:r>
          </w:p>
        </w:tc>
        <w:tc>
          <w:tcPr>
            <w:tcW w:w="1896" w:type="dxa"/>
            <w:vAlign w:val="center"/>
          </w:tcPr>
          <w:p w14:paraId="690A642B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2164" w:type="dxa"/>
          </w:tcPr>
          <w:p w14:paraId="315E5037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68F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678" w:type="dxa"/>
            <w:vAlign w:val="center"/>
          </w:tcPr>
          <w:p w14:paraId="72C6E514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7A2C401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收款信息</w:t>
            </w:r>
          </w:p>
        </w:tc>
        <w:tc>
          <w:tcPr>
            <w:tcW w:w="8159" w:type="dxa"/>
            <w:gridSpan w:val="5"/>
          </w:tcPr>
          <w:p w14:paraId="32FEBDD0">
            <w:pPr>
              <w:keepNext w:val="0"/>
              <w:keepLines w:val="0"/>
              <w:pageBreakBefore w:val="0"/>
              <w:widowControl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开户名称：北京中建科信管理咨询集团有限公司</w:t>
            </w:r>
          </w:p>
          <w:p w14:paraId="1C025C23">
            <w:pPr>
              <w:keepNext w:val="0"/>
              <w:keepLines w:val="0"/>
              <w:pageBreakBefore w:val="0"/>
              <w:widowControl w:val="0"/>
              <w:tabs>
                <w:tab w:val="left" w:pos="567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baseline"/>
              <w:outlineLvl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开户行：中国工商银行股份有限公司北京半壁店支行</w:t>
            </w:r>
          </w:p>
          <w:p w14:paraId="7D1B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账号：0200247009200068235</w:t>
            </w:r>
          </w:p>
        </w:tc>
      </w:tr>
      <w:tr w14:paraId="07A9D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1678" w:type="dxa"/>
            <w:vAlign w:val="center"/>
          </w:tcPr>
          <w:p w14:paraId="6ACFD154">
            <w:pPr>
              <w:tabs>
                <w:tab w:val="left" w:pos="567"/>
                <w:tab w:val="left" w:pos="709"/>
              </w:tabs>
              <w:spacing w:line="300" w:lineRule="exact"/>
              <w:jc w:val="center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4099" w:type="dxa"/>
            <w:gridSpan w:val="3"/>
            <w:vAlign w:val="center"/>
          </w:tcPr>
          <w:p w14:paraId="3F9C9FA4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课程可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据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单位实际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需</w:t>
            </w:r>
          </w:p>
          <w:p w14:paraId="1E0B8DE0">
            <w:pPr>
              <w:tabs>
                <w:tab w:val="left" w:pos="567"/>
                <w:tab w:val="left" w:pos="709"/>
              </w:tabs>
              <w:spacing w:line="300" w:lineRule="exact"/>
              <w:ind w:firstLine="560" w:firstLineChars="2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4F59AC8">
            <w:pPr>
              <w:tabs>
                <w:tab w:val="left" w:pos="567"/>
                <w:tab w:val="left" w:pos="709"/>
              </w:tabs>
              <w:spacing w:line="300" w:lineRule="exact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求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内部培训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4060" w:type="dxa"/>
            <w:gridSpan w:val="2"/>
            <w:vAlign w:val="center"/>
          </w:tcPr>
          <w:p w14:paraId="2EF7691F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A7F1683">
            <w:pPr>
              <w:pStyle w:val="11"/>
              <w:rPr>
                <w:rFonts w:hint="eastAsia" w:ascii="仿宋" w:hAnsi="仿宋" w:eastAsia="仿宋" w:cs="仿宋"/>
              </w:rPr>
            </w:pPr>
          </w:p>
          <w:p w14:paraId="1575BC9C">
            <w:pPr>
              <w:tabs>
                <w:tab w:val="left" w:pos="567"/>
                <w:tab w:val="left" w:pos="709"/>
              </w:tabs>
              <w:spacing w:line="300" w:lineRule="exact"/>
              <w:ind w:firstLine="280" w:firstLineChars="100"/>
              <w:textAlignment w:val="baseline"/>
              <w:outlineLvl w:val="0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70FA06F1">
      <w:pPr>
        <w:spacing w:line="500" w:lineRule="exact"/>
        <w:ind w:firstLine="280" w:firstLineChars="1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备注：1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宋体"/>
          <w:sz w:val="28"/>
          <w:szCs w:val="28"/>
        </w:rPr>
        <w:t>此表可复制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，</w:t>
      </w:r>
      <w:r>
        <w:rPr>
          <w:rFonts w:hint="eastAsia" w:ascii="仿宋" w:hAnsi="仿宋" w:eastAsia="仿宋" w:cs="宋体"/>
          <w:sz w:val="28"/>
          <w:szCs w:val="28"/>
        </w:rPr>
        <w:t>汇总名单后发送至会务组；</w:t>
      </w:r>
    </w:p>
    <w:p w14:paraId="29320501">
      <w:pPr>
        <w:spacing w:line="500" w:lineRule="exact"/>
        <w:ind w:firstLine="1120" w:firstLineChars="4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2"/>
          <w:sz w:val="28"/>
          <w:szCs w:val="28"/>
          <w:lang w:val="en-US" w:eastAsia="zh-CN" w:bidi="ar-SA"/>
        </w:rPr>
        <w:t>2.</w:t>
      </w:r>
      <w:bookmarkStart w:id="4" w:name="_GoBack"/>
      <w:bookmarkEnd w:id="4"/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报名负责人：聂红军 主任18211071700（微信）   </w:t>
      </w:r>
    </w:p>
    <w:p w14:paraId="35BC6430">
      <w:pPr>
        <w:spacing w:line="500" w:lineRule="exact"/>
        <w:ind w:firstLine="1120" w:firstLineChars="4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电    话：13141289128        邮    箱：470882753@qq.com  </w:t>
      </w:r>
    </w:p>
    <w:p w14:paraId="71215680">
      <w:pPr>
        <w:spacing w:line="500" w:lineRule="exact"/>
        <w:ind w:firstLine="1120" w:firstLineChars="400"/>
        <w:rPr>
          <w:rFonts w:hint="eastAsia" w:ascii="仿宋" w:hAnsi="仿宋" w:eastAsia="仿宋" w:cs="仿宋"/>
          <w:b w:val="0"/>
          <w:bCs w:val="0"/>
          <w:i w:val="0"/>
          <w:caps w:val="0"/>
          <w:color w:val="000000" w:themeColor="text1"/>
          <w:spacing w:val="6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qq咨询：470882753            网    址：www.zqgpchina.cn</w:t>
      </w:r>
    </w:p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B54C8A-A397-4773-9F26-F8F776AD18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505C0FC-1264-4711-B70F-D26BDFDF90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2C7F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9447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9447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OGRkZWMxNTc3M2E4ZWJhODhmY2RjOTRlNzg2OTgifQ=="/>
  </w:docVars>
  <w:rsids>
    <w:rsidRoot w:val="00A25635"/>
    <w:rsid w:val="000A7D38"/>
    <w:rsid w:val="000D57E6"/>
    <w:rsid w:val="001B15FC"/>
    <w:rsid w:val="001E3A77"/>
    <w:rsid w:val="002276E2"/>
    <w:rsid w:val="00255A18"/>
    <w:rsid w:val="002966FD"/>
    <w:rsid w:val="002B680B"/>
    <w:rsid w:val="002F6C07"/>
    <w:rsid w:val="00332CFE"/>
    <w:rsid w:val="003D0167"/>
    <w:rsid w:val="004A7DA4"/>
    <w:rsid w:val="004C251D"/>
    <w:rsid w:val="004E73F7"/>
    <w:rsid w:val="00530EDC"/>
    <w:rsid w:val="005B340B"/>
    <w:rsid w:val="005C6B69"/>
    <w:rsid w:val="00613255"/>
    <w:rsid w:val="00616063"/>
    <w:rsid w:val="00886B47"/>
    <w:rsid w:val="008A4005"/>
    <w:rsid w:val="008E7BFF"/>
    <w:rsid w:val="00947B56"/>
    <w:rsid w:val="009A2626"/>
    <w:rsid w:val="009C19A5"/>
    <w:rsid w:val="009C42E1"/>
    <w:rsid w:val="009D5A17"/>
    <w:rsid w:val="00A25635"/>
    <w:rsid w:val="00A337C0"/>
    <w:rsid w:val="00A52172"/>
    <w:rsid w:val="00A75C48"/>
    <w:rsid w:val="00B242D4"/>
    <w:rsid w:val="00B8228E"/>
    <w:rsid w:val="00C96EFB"/>
    <w:rsid w:val="00CB1102"/>
    <w:rsid w:val="00E14DBD"/>
    <w:rsid w:val="00E46B61"/>
    <w:rsid w:val="00E92371"/>
    <w:rsid w:val="00EC2D01"/>
    <w:rsid w:val="00F45E68"/>
    <w:rsid w:val="00F81827"/>
    <w:rsid w:val="00FA6966"/>
    <w:rsid w:val="00FB5DD5"/>
    <w:rsid w:val="01374E54"/>
    <w:rsid w:val="02242CC1"/>
    <w:rsid w:val="02935B9B"/>
    <w:rsid w:val="07837BA3"/>
    <w:rsid w:val="08253E42"/>
    <w:rsid w:val="0ADB385E"/>
    <w:rsid w:val="0F051A87"/>
    <w:rsid w:val="0FB74630"/>
    <w:rsid w:val="10953405"/>
    <w:rsid w:val="10AF31AF"/>
    <w:rsid w:val="11B35AC0"/>
    <w:rsid w:val="13512E37"/>
    <w:rsid w:val="160430A9"/>
    <w:rsid w:val="18BE222D"/>
    <w:rsid w:val="19006747"/>
    <w:rsid w:val="1EA125EF"/>
    <w:rsid w:val="1FD11ED6"/>
    <w:rsid w:val="224C2A45"/>
    <w:rsid w:val="230479E7"/>
    <w:rsid w:val="24825C6E"/>
    <w:rsid w:val="25276E09"/>
    <w:rsid w:val="267255FA"/>
    <w:rsid w:val="2A3F3F16"/>
    <w:rsid w:val="2A77749C"/>
    <w:rsid w:val="39CE564E"/>
    <w:rsid w:val="3B9420E7"/>
    <w:rsid w:val="3E7975CC"/>
    <w:rsid w:val="407D3798"/>
    <w:rsid w:val="40833746"/>
    <w:rsid w:val="447B0287"/>
    <w:rsid w:val="48217511"/>
    <w:rsid w:val="4AE10B61"/>
    <w:rsid w:val="4B366864"/>
    <w:rsid w:val="4BF05034"/>
    <w:rsid w:val="4C3C5D5C"/>
    <w:rsid w:val="4C7423E6"/>
    <w:rsid w:val="4CA677B2"/>
    <w:rsid w:val="4CBC3900"/>
    <w:rsid w:val="4EAA0D02"/>
    <w:rsid w:val="4F8C4C89"/>
    <w:rsid w:val="51A32B9C"/>
    <w:rsid w:val="583851DF"/>
    <w:rsid w:val="58EA42B7"/>
    <w:rsid w:val="59FD1B50"/>
    <w:rsid w:val="5D557E43"/>
    <w:rsid w:val="600528D3"/>
    <w:rsid w:val="60A1067D"/>
    <w:rsid w:val="6159161F"/>
    <w:rsid w:val="644F704C"/>
    <w:rsid w:val="697704F8"/>
    <w:rsid w:val="69CD4B31"/>
    <w:rsid w:val="6B940E85"/>
    <w:rsid w:val="6C5C5FF4"/>
    <w:rsid w:val="6CD0713B"/>
    <w:rsid w:val="6E08381B"/>
    <w:rsid w:val="6E2E7EE4"/>
    <w:rsid w:val="729850DF"/>
    <w:rsid w:val="72F62719"/>
    <w:rsid w:val="75071179"/>
    <w:rsid w:val="76BDAA09"/>
    <w:rsid w:val="798009C3"/>
    <w:rsid w:val="7B3A3782"/>
    <w:rsid w:val="7DA41F6D"/>
    <w:rsid w:val="7E6B4772"/>
    <w:rsid w:val="7EB1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eastAsia="楷体_GB2312"/>
      <w:sz w:val="28"/>
      <w:szCs w:val="20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next w:val="6"/>
    <w:semiHidden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 w:eastAsiaTheme="minorEastAsia"/>
      <w:b/>
      <w:bCs/>
      <w:sz w:val="32"/>
      <w:szCs w:val="32"/>
    </w:rPr>
  </w:style>
  <w:style w:type="paragraph" w:styleId="11">
    <w:name w:val="Body Text First Indent 2"/>
    <w:basedOn w:val="5"/>
    <w:next w:val="1"/>
    <w:qFormat/>
    <w:uiPriority w:val="99"/>
    <w:pPr>
      <w:tabs>
        <w:tab w:val="left" w:pos="-1440"/>
      </w:tabs>
      <w:autoSpaceDE w:val="0"/>
      <w:autoSpaceDN w:val="0"/>
      <w:adjustRightInd w:val="0"/>
      <w:spacing w:after="0" w:line="360" w:lineRule="auto"/>
      <w:ind w:left="176" w:leftChars="0" w:firstLine="420" w:firstLineChars="200"/>
      <w:jc w:val="left"/>
    </w:pPr>
    <w:rPr>
      <w:rFonts w:hint="eastAsia" w:ascii="仿宋" w:hAnsi="Times New Roman" w:eastAsia="仿宋" w:cs="Times New Roman"/>
      <w:sz w:val="24"/>
      <w:szCs w:val="24"/>
    </w:r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basedOn w:val="13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标题 Char"/>
    <w:link w:val="10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标题 Char1"/>
    <w:basedOn w:val="1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3010</Words>
  <Characters>3304</Characters>
  <Lines>31</Lines>
  <Paragraphs>8</Paragraphs>
  <TotalTime>1</TotalTime>
  <ScaleCrop>false</ScaleCrop>
  <LinksUpToDate>false</LinksUpToDate>
  <CharactersWithSpaces>3418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2020-05-07T11:00:00Z</dcterms:created>
  <dc:creator>微软用户</dc:creator>
  <cp:lastModifiedBy>聂红军</cp:lastModifiedBy>
  <dcterms:modified xsi:type="dcterms:W3CDTF">2026-09-08T13:04:46Z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0E8FCD200F3F4CAD880D8E5276845E26_13</vt:lpwstr>
  </property>
  <property fmtid="{D5CDD505-2E9C-101B-9397-08002B2CF9AE}" pid="4" name="KSOTemplateDocerSaveRecord">
    <vt:lpwstr>eyJoZGlkIjoiZTUyMWM5NTU3NmQwMzYzZGY2NjUyMjZkNDUzMDVhNDkiLCJ1c2VySWQiOiI0OTM4MTE0ODQifQ==</vt:lpwstr>
  </property>
</Properties>
</file>